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CUIDADOS NA ABERTURA - DÚVIDAS ABAIXO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​POSSO USAR A MESMA CONTA DE COMPRADOR DO BRASIL?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RESP - SIM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POSSO USAR A MESMA CONTA DE VENDEDOR NA AMAZON DO BRASIL?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RESP - SIM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QUAL O PRAZO DE PAGAMENTO DAS COMISSÕES?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