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ENVIAR PARA O CHAT GPT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 partir de agora, você é um profissional especializado em identificar dores através dos comentários das pessoas. Vou te enviar vários comentários de pessoas reais com a dor </w:t>
      </w:r>
      <w:r w:rsidDel="00000000" w:rsidR="00000000" w:rsidRPr="00000000">
        <w:rPr>
          <w:b w:val="1"/>
          <w:rtl w:val="0"/>
        </w:rPr>
        <w:t xml:space="preserve">(inserir nicho ou subnicho)</w:t>
      </w:r>
      <w:r w:rsidDel="00000000" w:rsidR="00000000" w:rsidRPr="00000000">
        <w:rPr>
          <w:rtl w:val="0"/>
        </w:rPr>
        <w:t xml:space="preserve">. A sua tarefa é encontrar principalmente as dores que os líderes estão sofrendo com esse tipo de problema. É importante notar que a maioria dessas dores pode estar escondida nos comentários, podendo aparecer de forma inconsciente. Segue abaixo a lista dos comentários que eu coletei.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COMENTÁRIO 1: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COMENTÁRIO 2: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COMENTÁRIO 3: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COMENTÁRIO 4: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COMENTÁRIO 5: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COMENTÁRIO 6: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COMENTÁRIO 7: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COMENTÁRIO 8: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COMENTÁRIO 9: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COMENTÁRIO 10: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COMENTÁRIO 11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COMENTÁRIO 12: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COMENTÁRIO 13: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COMENTÁRIO 14: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COMENTÁRIO 15: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COMENTÁRIO 16: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COMENTÁRIO 17: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COMENTÁRIO 18: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COMENTÁRIO 19: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COMENTÁRIO 20: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