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MATERIAIS COMPLEMENTARES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FERRAMENTAS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