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 xml:space="preserve">EXCELENTISSÍMO SENHOR DOUTOR </w:t>
      </w:r>
      <w:r w:rsidRPr="00284023">
        <w:rPr>
          <w:rFonts w:asciiTheme="minorHAnsi" w:hAnsiTheme="minorHAnsi"/>
          <w:spacing w:val="2"/>
        </w:rPr>
        <w:t>JUIZ DE DIREITO DA ______ VARA CÍVEL DA COMARCA DE ___________</w:t>
      </w:r>
      <w:proofErr w:type="gramStart"/>
      <w:r w:rsidRPr="00284023">
        <w:rPr>
          <w:rFonts w:asciiTheme="minorHAnsi" w:hAnsiTheme="minorHAnsi"/>
          <w:spacing w:val="2"/>
        </w:rPr>
        <w:t>/(</w:t>
      </w:r>
      <w:proofErr w:type="gramEnd"/>
      <w:r w:rsidRPr="00284023">
        <w:rPr>
          <w:rFonts w:asciiTheme="minorHAnsi" w:hAnsiTheme="minorHAnsi"/>
          <w:spacing w:val="2"/>
        </w:rPr>
        <w:t>SIGLA DO ESTADO)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 xml:space="preserve">NOME DO </w:t>
      </w:r>
      <w:r w:rsidRPr="00284023">
        <w:rPr>
          <w:rFonts w:asciiTheme="minorHAnsi" w:hAnsiTheme="minorHAnsi"/>
          <w:spacing w:val="2"/>
        </w:rPr>
        <w:t>AUTOR, (nacionalidade),</w:t>
      </w:r>
      <w:r w:rsidRPr="00284023">
        <w:rPr>
          <w:rFonts w:asciiTheme="minorHAnsi" w:hAnsiTheme="minorHAnsi"/>
          <w:spacing w:val="2"/>
        </w:rPr>
        <w:t xml:space="preserve"> </w:t>
      </w:r>
      <w:r w:rsidRPr="00284023">
        <w:rPr>
          <w:rFonts w:asciiTheme="minorHAnsi" w:hAnsiTheme="minorHAnsi"/>
          <w:spacing w:val="2"/>
        </w:rPr>
        <w:t>(estado civil),</w:t>
      </w:r>
      <w:r w:rsidRPr="00284023">
        <w:rPr>
          <w:rFonts w:asciiTheme="minorHAnsi" w:hAnsiTheme="minorHAnsi"/>
          <w:spacing w:val="2"/>
        </w:rPr>
        <w:t xml:space="preserve"> </w:t>
      </w:r>
      <w:r w:rsidRPr="00284023">
        <w:rPr>
          <w:rFonts w:asciiTheme="minorHAnsi" w:hAnsiTheme="minorHAnsi"/>
          <w:spacing w:val="2"/>
        </w:rPr>
        <w:t xml:space="preserve">(profissão), portador da Cédula de Identidade de nº </w:t>
      </w:r>
      <w:proofErr w:type="spellStart"/>
      <w:r w:rsidRPr="00284023">
        <w:rPr>
          <w:rFonts w:asciiTheme="minorHAnsi" w:hAnsiTheme="minorHAnsi"/>
          <w:spacing w:val="2"/>
        </w:rPr>
        <w:t>xxxxxx</w:t>
      </w:r>
      <w:proofErr w:type="spellEnd"/>
      <w:r w:rsidRPr="00284023">
        <w:rPr>
          <w:rFonts w:asciiTheme="minorHAnsi" w:hAnsiTheme="minorHAnsi"/>
          <w:spacing w:val="2"/>
        </w:rPr>
        <w:t>, inscrit</w:t>
      </w:r>
      <w:r w:rsidR="00E077AF">
        <w:rPr>
          <w:rFonts w:asciiTheme="minorHAnsi" w:hAnsiTheme="minorHAnsi"/>
          <w:spacing w:val="2"/>
        </w:rPr>
        <w:t>o</w:t>
      </w:r>
      <w:r w:rsidRPr="00284023">
        <w:rPr>
          <w:rFonts w:asciiTheme="minorHAnsi" w:hAnsiTheme="minorHAnsi"/>
          <w:spacing w:val="2"/>
        </w:rPr>
        <w:t xml:space="preserve"> no CPF de nº </w:t>
      </w:r>
      <w:proofErr w:type="spellStart"/>
      <w:r w:rsidRPr="00284023">
        <w:rPr>
          <w:rFonts w:asciiTheme="minorHAnsi" w:hAnsiTheme="minorHAnsi"/>
          <w:spacing w:val="2"/>
        </w:rPr>
        <w:t>xxxx</w:t>
      </w:r>
      <w:proofErr w:type="spellEnd"/>
      <w:r w:rsidRPr="00284023">
        <w:rPr>
          <w:rFonts w:asciiTheme="minorHAnsi" w:hAnsiTheme="minorHAnsi"/>
          <w:spacing w:val="2"/>
        </w:rPr>
        <w:t>,</w:t>
      </w:r>
      <w:r w:rsidRPr="00284023">
        <w:rPr>
          <w:rFonts w:asciiTheme="minorHAnsi" w:hAnsiTheme="minorHAnsi"/>
          <w:spacing w:val="2"/>
        </w:rPr>
        <w:t xml:space="preserve"> residente na </w:t>
      </w:r>
      <w:r w:rsidR="00E077AF" w:rsidRPr="00284023">
        <w:rPr>
          <w:rFonts w:asciiTheme="minorHAnsi" w:hAnsiTheme="minorHAnsi"/>
          <w:spacing w:val="2"/>
        </w:rPr>
        <w:t>Rua (</w:t>
      </w:r>
      <w:proofErr w:type="spellStart"/>
      <w:r w:rsidR="00E077AF" w:rsidRPr="00284023">
        <w:rPr>
          <w:rFonts w:asciiTheme="minorHAnsi" w:hAnsiTheme="minorHAnsi"/>
          <w:spacing w:val="2"/>
        </w:rPr>
        <w:t>xxx</w:t>
      </w:r>
      <w:proofErr w:type="spellEnd"/>
      <w:r w:rsidR="00E077AF" w:rsidRPr="00284023">
        <w:rPr>
          <w:rFonts w:asciiTheme="minorHAnsi" w:hAnsiTheme="minorHAnsi"/>
          <w:spacing w:val="2"/>
        </w:rPr>
        <w:t>), nº (</w:t>
      </w:r>
      <w:proofErr w:type="spellStart"/>
      <w:r w:rsidR="00E077AF" w:rsidRPr="00284023">
        <w:rPr>
          <w:rFonts w:asciiTheme="minorHAnsi" w:hAnsiTheme="minorHAnsi"/>
          <w:spacing w:val="2"/>
        </w:rPr>
        <w:t>xxx</w:t>
      </w:r>
      <w:proofErr w:type="spellEnd"/>
      <w:r w:rsidR="00E077AF" w:rsidRPr="00284023">
        <w:rPr>
          <w:rFonts w:asciiTheme="minorHAnsi" w:hAnsiTheme="minorHAnsi"/>
          <w:spacing w:val="2"/>
        </w:rPr>
        <w:t>), Bairro (</w:t>
      </w:r>
      <w:proofErr w:type="spellStart"/>
      <w:r w:rsidR="00E077AF" w:rsidRPr="00284023">
        <w:rPr>
          <w:rFonts w:asciiTheme="minorHAnsi" w:hAnsiTheme="minorHAnsi"/>
          <w:spacing w:val="2"/>
        </w:rPr>
        <w:t>xxx</w:t>
      </w:r>
      <w:proofErr w:type="spellEnd"/>
      <w:r w:rsidR="00E077AF" w:rsidRPr="00284023">
        <w:rPr>
          <w:rFonts w:asciiTheme="minorHAnsi" w:hAnsiTheme="minorHAnsi"/>
          <w:spacing w:val="2"/>
        </w:rPr>
        <w:t>), Cidade (</w:t>
      </w:r>
      <w:proofErr w:type="spellStart"/>
      <w:r w:rsidR="00E077AF" w:rsidRPr="00284023">
        <w:rPr>
          <w:rFonts w:asciiTheme="minorHAnsi" w:hAnsiTheme="minorHAnsi"/>
          <w:spacing w:val="2"/>
        </w:rPr>
        <w:t>xxx</w:t>
      </w:r>
      <w:proofErr w:type="spellEnd"/>
      <w:r w:rsidR="00E077AF" w:rsidRPr="00284023">
        <w:rPr>
          <w:rFonts w:asciiTheme="minorHAnsi" w:hAnsiTheme="minorHAnsi"/>
          <w:spacing w:val="2"/>
        </w:rPr>
        <w:t>), CEP. (</w:t>
      </w:r>
      <w:proofErr w:type="spellStart"/>
      <w:proofErr w:type="gramStart"/>
      <w:r w:rsidR="00E077AF" w:rsidRPr="00284023">
        <w:rPr>
          <w:rFonts w:asciiTheme="minorHAnsi" w:hAnsiTheme="minorHAnsi"/>
          <w:spacing w:val="2"/>
        </w:rPr>
        <w:t>xxx</w:t>
      </w:r>
      <w:proofErr w:type="spellEnd"/>
      <w:proofErr w:type="gramEnd"/>
      <w:r w:rsidR="00E077AF" w:rsidRPr="00284023">
        <w:rPr>
          <w:rFonts w:asciiTheme="minorHAnsi" w:hAnsiTheme="minorHAnsi"/>
          <w:spacing w:val="2"/>
        </w:rPr>
        <w:t>), no Estado de (</w:t>
      </w:r>
      <w:proofErr w:type="spellStart"/>
      <w:r w:rsidR="00E077AF" w:rsidRPr="00284023">
        <w:rPr>
          <w:rFonts w:asciiTheme="minorHAnsi" w:hAnsiTheme="minorHAnsi"/>
          <w:spacing w:val="2"/>
        </w:rPr>
        <w:t>xxx</w:t>
      </w:r>
      <w:proofErr w:type="spellEnd"/>
      <w:r w:rsidR="00E077AF" w:rsidRPr="00284023">
        <w:rPr>
          <w:rFonts w:asciiTheme="minorHAnsi" w:hAnsiTheme="minorHAnsi"/>
          <w:spacing w:val="2"/>
        </w:rPr>
        <w:t>)</w:t>
      </w:r>
      <w:r w:rsidRPr="00284023">
        <w:rPr>
          <w:rFonts w:asciiTheme="minorHAnsi" w:hAnsiTheme="minorHAnsi"/>
          <w:spacing w:val="2"/>
        </w:rPr>
        <w:t>, por seu</w:t>
      </w:r>
      <w:r w:rsidRPr="00284023">
        <w:rPr>
          <w:rFonts w:asciiTheme="minorHAnsi" w:hAnsiTheme="minorHAnsi"/>
          <w:spacing w:val="2"/>
        </w:rPr>
        <w:t xml:space="preserve"> advogad</w:t>
      </w:r>
      <w:r w:rsidRPr="00284023">
        <w:rPr>
          <w:rFonts w:asciiTheme="minorHAnsi" w:hAnsiTheme="minorHAnsi"/>
          <w:spacing w:val="2"/>
        </w:rPr>
        <w:t>o abaixo assinado</w:t>
      </w:r>
      <w:r w:rsidRPr="00284023">
        <w:rPr>
          <w:rFonts w:asciiTheme="minorHAnsi" w:hAnsiTheme="minorHAnsi"/>
          <w:spacing w:val="2"/>
        </w:rPr>
        <w:t>, conforme procuração anexa, com escritório profissional situado na Rua (</w:t>
      </w:r>
      <w:proofErr w:type="spellStart"/>
      <w:r w:rsidRPr="00284023">
        <w:rPr>
          <w:rFonts w:asciiTheme="minorHAnsi" w:hAnsiTheme="minorHAnsi"/>
          <w:spacing w:val="2"/>
        </w:rPr>
        <w:t>xxx</w:t>
      </w:r>
      <w:proofErr w:type="spellEnd"/>
      <w:r w:rsidRPr="00284023">
        <w:rPr>
          <w:rFonts w:asciiTheme="minorHAnsi" w:hAnsiTheme="minorHAnsi"/>
          <w:spacing w:val="2"/>
        </w:rPr>
        <w:t>), nº (</w:t>
      </w:r>
      <w:proofErr w:type="spellStart"/>
      <w:r w:rsidRPr="00284023">
        <w:rPr>
          <w:rFonts w:asciiTheme="minorHAnsi" w:hAnsiTheme="minorHAnsi"/>
          <w:spacing w:val="2"/>
        </w:rPr>
        <w:t>xxx</w:t>
      </w:r>
      <w:proofErr w:type="spellEnd"/>
      <w:r w:rsidRPr="00284023">
        <w:rPr>
          <w:rFonts w:asciiTheme="minorHAnsi" w:hAnsiTheme="minorHAnsi"/>
          <w:spacing w:val="2"/>
        </w:rPr>
        <w:t>), Bairro (</w:t>
      </w:r>
      <w:proofErr w:type="spellStart"/>
      <w:r w:rsidRPr="00284023">
        <w:rPr>
          <w:rFonts w:asciiTheme="minorHAnsi" w:hAnsiTheme="minorHAnsi"/>
          <w:spacing w:val="2"/>
        </w:rPr>
        <w:t>xxx</w:t>
      </w:r>
      <w:proofErr w:type="spellEnd"/>
      <w:r w:rsidRPr="00284023">
        <w:rPr>
          <w:rFonts w:asciiTheme="minorHAnsi" w:hAnsiTheme="minorHAnsi"/>
          <w:spacing w:val="2"/>
        </w:rPr>
        <w:t>), Cidade (</w:t>
      </w:r>
      <w:proofErr w:type="spellStart"/>
      <w:r w:rsidRPr="00284023">
        <w:rPr>
          <w:rFonts w:asciiTheme="minorHAnsi" w:hAnsiTheme="minorHAnsi"/>
          <w:spacing w:val="2"/>
        </w:rPr>
        <w:t>xxx</w:t>
      </w:r>
      <w:proofErr w:type="spellEnd"/>
      <w:r w:rsidRPr="00284023">
        <w:rPr>
          <w:rFonts w:asciiTheme="minorHAnsi" w:hAnsiTheme="minorHAnsi"/>
          <w:spacing w:val="2"/>
        </w:rPr>
        <w:t>), CEP. (</w:t>
      </w:r>
      <w:proofErr w:type="spellStart"/>
      <w:proofErr w:type="gramStart"/>
      <w:r w:rsidRPr="00284023">
        <w:rPr>
          <w:rFonts w:asciiTheme="minorHAnsi" w:hAnsiTheme="minorHAnsi"/>
          <w:spacing w:val="2"/>
        </w:rPr>
        <w:t>xxx</w:t>
      </w:r>
      <w:proofErr w:type="spellEnd"/>
      <w:proofErr w:type="gramEnd"/>
      <w:r w:rsidRPr="00284023">
        <w:rPr>
          <w:rFonts w:asciiTheme="minorHAnsi" w:hAnsiTheme="minorHAnsi"/>
          <w:spacing w:val="2"/>
        </w:rPr>
        <w:t>), no Estado de (</w:t>
      </w:r>
      <w:proofErr w:type="spellStart"/>
      <w:r w:rsidRPr="00284023">
        <w:rPr>
          <w:rFonts w:asciiTheme="minorHAnsi" w:hAnsiTheme="minorHAnsi"/>
          <w:spacing w:val="2"/>
        </w:rPr>
        <w:t>xxx</w:t>
      </w:r>
      <w:proofErr w:type="spellEnd"/>
      <w:r w:rsidRPr="00284023">
        <w:rPr>
          <w:rFonts w:asciiTheme="minorHAnsi" w:hAnsiTheme="minorHAnsi"/>
          <w:spacing w:val="2"/>
        </w:rPr>
        <w:t xml:space="preserve">), onde recebe intimações, </w:t>
      </w:r>
      <w:r w:rsidRPr="00284023">
        <w:rPr>
          <w:rFonts w:asciiTheme="minorHAnsi" w:hAnsiTheme="minorHAnsi"/>
          <w:spacing w:val="2"/>
        </w:rPr>
        <w:t xml:space="preserve">com endereço eletrônico </w:t>
      </w:r>
      <w:proofErr w:type="spellStart"/>
      <w:r w:rsidRPr="00284023">
        <w:rPr>
          <w:rFonts w:asciiTheme="minorHAnsi" w:hAnsiTheme="minorHAnsi"/>
          <w:spacing w:val="2"/>
        </w:rPr>
        <w:t>xxx</w:t>
      </w:r>
      <w:proofErr w:type="spellEnd"/>
      <w:r w:rsidRPr="00284023">
        <w:rPr>
          <w:rFonts w:asciiTheme="minorHAnsi" w:hAnsiTheme="minorHAnsi"/>
          <w:spacing w:val="2"/>
        </w:rPr>
        <w:t xml:space="preserve">, </w:t>
      </w:r>
      <w:r w:rsidRPr="00284023">
        <w:rPr>
          <w:rFonts w:asciiTheme="minorHAnsi" w:hAnsiTheme="minorHAnsi"/>
          <w:spacing w:val="2"/>
        </w:rPr>
        <w:t>vem respeitosamente à presença de Vossa Excelência ajuizar a presente:</w:t>
      </w:r>
    </w:p>
    <w:p w:rsid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/>
          <w:b/>
          <w:spacing w:val="2"/>
        </w:rPr>
      </w:pPr>
      <w:bookmarkStart w:id="0" w:name="_GoBack"/>
      <w:bookmarkEnd w:id="0"/>
      <w:r w:rsidRPr="00284023">
        <w:rPr>
          <w:rFonts w:asciiTheme="minorHAnsi" w:hAnsiTheme="minorHAnsi"/>
          <w:b/>
          <w:spacing w:val="2"/>
        </w:rPr>
        <w:t xml:space="preserve">AÇÃO DE </w:t>
      </w:r>
      <w:r w:rsidRPr="00284023">
        <w:rPr>
          <w:rFonts w:asciiTheme="minorHAnsi" w:hAnsiTheme="minorHAnsi"/>
          <w:b/>
          <w:spacing w:val="2"/>
        </w:rPr>
        <w:t xml:space="preserve">IMISSÃO NA POSSE COM PEDIDO LIMINAR 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/>
          <w:b/>
          <w:spacing w:val="2"/>
        </w:rPr>
      </w:pPr>
      <w:r w:rsidRPr="00284023">
        <w:rPr>
          <w:rFonts w:asciiTheme="minorHAnsi" w:hAnsiTheme="minorHAnsi"/>
          <w:b/>
          <w:spacing w:val="2"/>
        </w:rPr>
        <w:t>C/C PERDAS E DANOS</w:t>
      </w:r>
    </w:p>
    <w:p w:rsidR="007C2F38" w:rsidRPr="00284023" w:rsidRDefault="007C2F38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 xml:space="preserve">Em face de </w:t>
      </w:r>
      <w:r w:rsidRPr="00284023">
        <w:rPr>
          <w:rFonts w:asciiTheme="minorHAnsi" w:hAnsiTheme="minorHAnsi"/>
          <w:spacing w:val="2"/>
        </w:rPr>
        <w:t>NOME DO RÉU</w:t>
      </w:r>
      <w:r w:rsidR="00E077AF">
        <w:rPr>
          <w:rFonts w:asciiTheme="minorHAnsi" w:hAnsiTheme="minorHAnsi"/>
          <w:spacing w:val="2"/>
        </w:rPr>
        <w:t xml:space="preserve">, portador </w:t>
      </w:r>
      <w:r w:rsidRPr="00284023">
        <w:rPr>
          <w:rFonts w:asciiTheme="minorHAnsi" w:hAnsiTheme="minorHAnsi"/>
          <w:spacing w:val="2"/>
        </w:rPr>
        <w:t>da Cédula de I</w:t>
      </w:r>
      <w:r w:rsidRPr="00284023">
        <w:rPr>
          <w:rFonts w:asciiTheme="minorHAnsi" w:hAnsiTheme="minorHAnsi"/>
          <w:spacing w:val="2"/>
        </w:rPr>
        <w:t xml:space="preserve">dentidade de nº </w:t>
      </w:r>
      <w:proofErr w:type="spellStart"/>
      <w:r w:rsidRPr="00284023">
        <w:rPr>
          <w:rFonts w:asciiTheme="minorHAnsi" w:hAnsiTheme="minorHAnsi"/>
          <w:spacing w:val="2"/>
        </w:rPr>
        <w:t>xxxxxx</w:t>
      </w:r>
      <w:proofErr w:type="spellEnd"/>
      <w:r w:rsidRPr="00284023">
        <w:rPr>
          <w:rFonts w:asciiTheme="minorHAnsi" w:hAnsiTheme="minorHAnsi"/>
          <w:spacing w:val="2"/>
        </w:rPr>
        <w:t>, inscrito</w:t>
      </w:r>
      <w:r w:rsidRPr="00284023">
        <w:rPr>
          <w:rFonts w:asciiTheme="minorHAnsi" w:hAnsiTheme="minorHAnsi"/>
          <w:spacing w:val="2"/>
        </w:rPr>
        <w:t xml:space="preserve"> no CPF sob nº </w:t>
      </w:r>
      <w:proofErr w:type="spellStart"/>
      <w:r w:rsidRPr="00284023">
        <w:rPr>
          <w:rFonts w:asciiTheme="minorHAnsi" w:hAnsiTheme="minorHAnsi"/>
          <w:spacing w:val="2"/>
        </w:rPr>
        <w:t>xxxx</w:t>
      </w:r>
      <w:proofErr w:type="spellEnd"/>
      <w:r w:rsidRPr="00284023">
        <w:rPr>
          <w:rFonts w:asciiTheme="minorHAnsi" w:hAnsiTheme="minorHAnsi"/>
          <w:spacing w:val="2"/>
        </w:rPr>
        <w:t>, residente na ..., com base no art. </w:t>
      </w:r>
      <w:hyperlink r:id="rId5" w:tooltip="Artigo 30 da Lei nº 9.514 de 20 de Novembro de 1997" w:history="1">
        <w:r w:rsidRPr="00284023">
          <w:rPr>
            <w:rStyle w:val="Hyperlink"/>
            <w:rFonts w:asciiTheme="minorHAnsi" w:hAnsiTheme="minorHAnsi"/>
            <w:color w:val="auto"/>
            <w:spacing w:val="2"/>
            <w:u w:val="none"/>
          </w:rPr>
          <w:t>30</w:t>
        </w:r>
      </w:hyperlink>
      <w:r w:rsidRPr="00284023">
        <w:rPr>
          <w:rFonts w:asciiTheme="minorHAnsi" w:hAnsiTheme="minorHAnsi"/>
          <w:spacing w:val="2"/>
        </w:rPr>
        <w:t> da Lei </w:t>
      </w:r>
      <w:hyperlink r:id="rId6" w:tooltip="Lei nº 9.514, de 20 de novembro de 1997." w:history="1">
        <w:r w:rsidRPr="00284023">
          <w:rPr>
            <w:rStyle w:val="Hyperlink"/>
            <w:rFonts w:asciiTheme="minorHAnsi" w:hAnsiTheme="minorHAnsi"/>
            <w:color w:val="auto"/>
            <w:spacing w:val="2"/>
            <w:u w:val="none"/>
          </w:rPr>
          <w:t>9.514</w:t>
        </w:r>
      </w:hyperlink>
      <w:r w:rsidRPr="00284023">
        <w:rPr>
          <w:rFonts w:asciiTheme="minorHAnsi" w:hAnsiTheme="minorHAnsi"/>
          <w:spacing w:val="2"/>
        </w:rPr>
        <w:t>/1997, e nos argumentos de fato e de direito a seguir aduzidos: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>I</w:t>
      </w:r>
      <w:r w:rsidRPr="00284023">
        <w:rPr>
          <w:rFonts w:asciiTheme="minorHAnsi" w:hAnsiTheme="minorHAnsi"/>
          <w:spacing w:val="2"/>
        </w:rPr>
        <w:t xml:space="preserve">. </w:t>
      </w:r>
      <w:r w:rsidRPr="003534B2">
        <w:rPr>
          <w:rFonts w:asciiTheme="minorHAnsi" w:hAnsiTheme="minorHAnsi"/>
          <w:b/>
          <w:spacing w:val="2"/>
          <w:u w:val="single"/>
        </w:rPr>
        <w:t xml:space="preserve">DOS </w:t>
      </w:r>
      <w:r w:rsidRPr="003534B2">
        <w:rPr>
          <w:rFonts w:asciiTheme="minorHAnsi" w:hAnsiTheme="minorHAnsi"/>
          <w:b/>
          <w:spacing w:val="2"/>
          <w:u w:val="single"/>
        </w:rPr>
        <w:t>FATOS</w:t>
      </w:r>
    </w:p>
    <w:p w:rsid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 xml:space="preserve">O Autor adquiriu o imóvel localizado na Rua </w:t>
      </w:r>
      <w:proofErr w:type="spellStart"/>
      <w:r>
        <w:rPr>
          <w:rFonts w:asciiTheme="minorHAnsi" w:hAnsiTheme="minorHAnsi"/>
          <w:spacing w:val="2"/>
        </w:rPr>
        <w:t>xxx</w:t>
      </w:r>
      <w:proofErr w:type="spellEnd"/>
      <w:r>
        <w:rPr>
          <w:rFonts w:asciiTheme="minorHAnsi" w:hAnsiTheme="minorHAnsi"/>
          <w:spacing w:val="2"/>
        </w:rPr>
        <w:t xml:space="preserve">, bairro, nessa cidade, com matrícula nº. </w:t>
      </w:r>
      <w:proofErr w:type="spellStart"/>
      <w:proofErr w:type="gramStart"/>
      <w:r>
        <w:rPr>
          <w:rFonts w:asciiTheme="minorHAnsi" w:hAnsiTheme="minorHAnsi"/>
          <w:spacing w:val="2"/>
        </w:rPr>
        <w:t>xxx</w:t>
      </w:r>
      <w:proofErr w:type="spellEnd"/>
      <w:proofErr w:type="gramEnd"/>
      <w:r>
        <w:rPr>
          <w:rFonts w:asciiTheme="minorHAnsi" w:hAnsiTheme="minorHAnsi"/>
          <w:spacing w:val="2"/>
        </w:rPr>
        <w:t xml:space="preserve"> registrada no </w:t>
      </w:r>
      <w:proofErr w:type="spellStart"/>
      <w:r>
        <w:rPr>
          <w:rFonts w:asciiTheme="minorHAnsi" w:hAnsiTheme="minorHAnsi"/>
          <w:spacing w:val="2"/>
        </w:rPr>
        <w:t>xx</w:t>
      </w:r>
      <w:proofErr w:type="spellEnd"/>
      <w:r>
        <w:rPr>
          <w:rFonts w:asciiTheme="minorHAnsi" w:hAnsiTheme="minorHAnsi"/>
          <w:spacing w:val="2"/>
        </w:rPr>
        <w:t xml:space="preserve"> Cartório de Registro de Imóveis, por meio de leilão realizado pelo Banco XXX em </w:t>
      </w:r>
      <w:proofErr w:type="spellStart"/>
      <w:r>
        <w:rPr>
          <w:rFonts w:asciiTheme="minorHAnsi" w:hAnsiTheme="minorHAnsi"/>
          <w:spacing w:val="2"/>
        </w:rPr>
        <w:t>xxxx</w:t>
      </w:r>
      <w:proofErr w:type="spellEnd"/>
      <w:r>
        <w:rPr>
          <w:rFonts w:asciiTheme="minorHAnsi" w:hAnsiTheme="minorHAnsi"/>
          <w:spacing w:val="2"/>
        </w:rPr>
        <w:t xml:space="preserve"> (data), conforme Escritura Pública de Compra e Venda ou </w:t>
      </w:r>
      <w:r w:rsidR="00AE2CC5" w:rsidRPr="00AE2CC5">
        <w:rPr>
          <w:rFonts w:asciiTheme="minorHAnsi" w:hAnsiTheme="minorHAnsi"/>
          <w:spacing w:val="2"/>
        </w:rPr>
        <w:t>Instrumento Particular de Compra e Venda de Bem Imóvel com Pacto Adjeto de Alienação Fiduciária em Garantia</w:t>
      </w:r>
      <w:r w:rsidR="00AE2CC5">
        <w:rPr>
          <w:rFonts w:asciiTheme="minorHAnsi" w:hAnsiTheme="minorHAnsi"/>
          <w:spacing w:val="2"/>
        </w:rPr>
        <w:t xml:space="preserve"> (escolher qual foi feito – escritura para pagamento à vista; pacto com alienação fiduciária para pagamento financiado) e a devida averbação do negócio no registro do imóvel. </w:t>
      </w:r>
    </w:p>
    <w:p w:rsidR="00AE2CC5" w:rsidRDefault="00AE2CC5" w:rsidP="00AE2CC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/>
          <w:spacing w:val="2"/>
        </w:rPr>
      </w:pPr>
    </w:p>
    <w:p w:rsidR="00AE2CC5" w:rsidRDefault="00AE2CC5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 xml:space="preserve">Ocorre que após o cumprimento integral do pagamento e do registro da documentação, o Autor não conseguiu obter a posse que lhe é de </w:t>
      </w:r>
      <w:r w:rsidR="00E97DCF">
        <w:rPr>
          <w:rFonts w:asciiTheme="minorHAnsi" w:hAnsiTheme="minorHAnsi"/>
          <w:spacing w:val="2"/>
        </w:rPr>
        <w:t xml:space="preserve">direito. </w:t>
      </w:r>
      <w:r>
        <w:rPr>
          <w:rFonts w:asciiTheme="minorHAnsi" w:hAnsiTheme="minorHAnsi"/>
          <w:spacing w:val="2"/>
        </w:rPr>
        <w:t xml:space="preserve">Portanto, evidenciado o domínio e posse injusta do Réu. </w:t>
      </w:r>
    </w:p>
    <w:p w:rsidR="00E97DCF" w:rsidRDefault="00E97DCF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AE2CC5" w:rsidRDefault="00AE2CC5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 xml:space="preserve">Previamente a interposição da ação houve a tentativa </w:t>
      </w:r>
      <w:r w:rsidR="00E97DCF">
        <w:rPr>
          <w:rFonts w:asciiTheme="minorHAnsi" w:hAnsiTheme="minorHAnsi"/>
          <w:spacing w:val="2"/>
        </w:rPr>
        <w:t>de desocupação amigável</w:t>
      </w:r>
      <w:r>
        <w:rPr>
          <w:rFonts w:asciiTheme="minorHAnsi" w:hAnsiTheme="minorHAnsi"/>
          <w:spacing w:val="2"/>
        </w:rPr>
        <w:t xml:space="preserve"> junto ao Réu que restou infrutífera, razão pelo qual o Autor move a presente ação, cuja liminar, prevista na Lei 9514/97, é medida que se impõe. </w:t>
      </w:r>
    </w:p>
    <w:p w:rsid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 xml:space="preserve">II. </w:t>
      </w:r>
      <w:r w:rsidRPr="003534B2">
        <w:rPr>
          <w:rFonts w:asciiTheme="minorHAnsi" w:hAnsiTheme="minorHAnsi"/>
          <w:b/>
          <w:spacing w:val="2"/>
          <w:u w:val="single"/>
        </w:rPr>
        <w:t xml:space="preserve">DO </w:t>
      </w:r>
      <w:r w:rsidRPr="003534B2">
        <w:rPr>
          <w:rFonts w:asciiTheme="minorHAnsi" w:hAnsiTheme="minorHAnsi"/>
          <w:b/>
          <w:spacing w:val="2"/>
          <w:u w:val="single"/>
        </w:rPr>
        <w:t>DIREITO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>Nos termos do art. </w:t>
      </w:r>
      <w:hyperlink r:id="rId7" w:tooltip="Artigo 30 da Lei nº 9.514 de 20 de Novembro de 1997" w:history="1">
        <w:r w:rsidRPr="00284023">
          <w:rPr>
            <w:rStyle w:val="Hyperlink"/>
            <w:rFonts w:asciiTheme="minorHAnsi" w:hAnsiTheme="minorHAnsi"/>
            <w:color w:val="auto"/>
            <w:spacing w:val="2"/>
            <w:u w:val="none"/>
          </w:rPr>
          <w:t>30</w:t>
        </w:r>
      </w:hyperlink>
      <w:r w:rsidRPr="00284023">
        <w:rPr>
          <w:rFonts w:asciiTheme="minorHAnsi" w:hAnsiTheme="minorHAnsi"/>
          <w:spacing w:val="2"/>
        </w:rPr>
        <w:t> da Lei </w:t>
      </w:r>
      <w:hyperlink r:id="rId8" w:tooltip="Lei nº 9.514, de 20 de novembro de 1997." w:history="1">
        <w:r w:rsidRPr="00284023">
          <w:rPr>
            <w:rStyle w:val="Hyperlink"/>
            <w:rFonts w:asciiTheme="minorHAnsi" w:hAnsiTheme="minorHAnsi"/>
            <w:color w:val="auto"/>
            <w:spacing w:val="2"/>
            <w:u w:val="none"/>
          </w:rPr>
          <w:t>9.514</w:t>
        </w:r>
      </w:hyperlink>
      <w:r w:rsidRPr="00284023">
        <w:rPr>
          <w:rFonts w:asciiTheme="minorHAnsi" w:hAnsiTheme="minorHAnsi"/>
          <w:spacing w:val="2"/>
        </w:rPr>
        <w:t>/1997: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AE2CC5">
      <w:pPr>
        <w:pStyle w:val="NormalWeb"/>
        <w:shd w:val="clear" w:color="auto" w:fill="FFFFFF"/>
        <w:spacing w:before="0" w:beforeAutospacing="0" w:after="0" w:afterAutospacing="0" w:line="360" w:lineRule="auto"/>
        <w:ind w:left="2835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>“</w:t>
      </w:r>
      <w:r w:rsidRPr="00AE2CC5">
        <w:rPr>
          <w:rFonts w:asciiTheme="minorHAnsi" w:hAnsiTheme="minorHAnsi"/>
          <w:spacing w:val="2"/>
          <w:u w:val="single"/>
        </w:rPr>
        <w:t>É assegurada ao fiduciário, seu cessionário ou sucessores, inclusive o adquirente do imóvel por força do público leilão de que tratam os §§ 1º e 2º do art. 27, a reintegração na posse do imóvel, que será concedida liminarmente, para desocupação em sessenta dias, desde que comprovada na forma do disposto no art. 26, a consolidação da propriedade em seu nome</w:t>
      </w:r>
      <w:r w:rsidRPr="00284023">
        <w:rPr>
          <w:rFonts w:asciiTheme="minorHAnsi" w:hAnsiTheme="minorHAnsi"/>
          <w:spacing w:val="2"/>
        </w:rPr>
        <w:t>.” (</w:t>
      </w:r>
      <w:proofErr w:type="gramStart"/>
      <w:r w:rsidRPr="00284023">
        <w:rPr>
          <w:rFonts w:asciiTheme="minorHAnsi" w:hAnsiTheme="minorHAnsi"/>
          <w:spacing w:val="2"/>
        </w:rPr>
        <w:t>destacou</w:t>
      </w:r>
      <w:proofErr w:type="gramEnd"/>
      <w:r w:rsidRPr="00284023">
        <w:rPr>
          <w:rFonts w:asciiTheme="minorHAnsi" w:hAnsiTheme="minorHAnsi"/>
          <w:spacing w:val="2"/>
        </w:rPr>
        <w:t>-se)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 xml:space="preserve">Portanto, </w:t>
      </w:r>
      <w:r w:rsidR="00E97DCF">
        <w:rPr>
          <w:rFonts w:asciiTheme="minorHAnsi" w:hAnsiTheme="minorHAnsi"/>
          <w:spacing w:val="2"/>
        </w:rPr>
        <w:t xml:space="preserve">é cristalino o comando legal e </w:t>
      </w:r>
      <w:r w:rsidRPr="00284023">
        <w:rPr>
          <w:rFonts w:asciiTheme="minorHAnsi" w:hAnsiTheme="minorHAnsi"/>
          <w:spacing w:val="2"/>
        </w:rPr>
        <w:t xml:space="preserve">com </w:t>
      </w:r>
      <w:r w:rsidR="00AE2CC5">
        <w:rPr>
          <w:rFonts w:asciiTheme="minorHAnsi" w:hAnsiTheme="minorHAnsi"/>
          <w:spacing w:val="2"/>
        </w:rPr>
        <w:t>a consequente consolidação da propriedade em nome do Autor</w:t>
      </w:r>
      <w:r w:rsidR="00E15641">
        <w:rPr>
          <w:rFonts w:asciiTheme="minorHAnsi" w:hAnsiTheme="minorHAnsi"/>
          <w:spacing w:val="2"/>
        </w:rPr>
        <w:t xml:space="preserve"> comprovada através do registro do Cartório de Registro de Imóveis competente</w:t>
      </w:r>
      <w:r w:rsidR="00AE2CC5">
        <w:rPr>
          <w:rFonts w:asciiTheme="minorHAnsi" w:hAnsiTheme="minorHAnsi"/>
          <w:spacing w:val="2"/>
        </w:rPr>
        <w:t xml:space="preserve">, </w:t>
      </w:r>
      <w:r w:rsidRPr="00284023">
        <w:rPr>
          <w:rFonts w:asciiTheme="minorHAnsi" w:hAnsiTheme="minorHAnsi"/>
          <w:spacing w:val="2"/>
        </w:rPr>
        <w:t xml:space="preserve">a </w:t>
      </w:r>
      <w:r w:rsidR="00AE2CC5">
        <w:rPr>
          <w:rFonts w:asciiTheme="minorHAnsi" w:hAnsiTheme="minorHAnsi"/>
          <w:spacing w:val="2"/>
        </w:rPr>
        <w:t>imissão</w:t>
      </w:r>
      <w:r w:rsidRPr="00284023">
        <w:rPr>
          <w:rFonts w:asciiTheme="minorHAnsi" w:hAnsiTheme="minorHAnsi"/>
          <w:spacing w:val="2"/>
        </w:rPr>
        <w:t xml:space="preserve"> liminar da posse do bem alienado fiduciariamente com prazo de sessenta dias para desocupação</w:t>
      </w:r>
      <w:r w:rsidR="00AE2CC5">
        <w:rPr>
          <w:rFonts w:asciiTheme="minorHAnsi" w:hAnsiTheme="minorHAnsi"/>
          <w:spacing w:val="2"/>
        </w:rPr>
        <w:t xml:space="preserve"> é de rigor</w:t>
      </w:r>
      <w:r w:rsidR="001E758C">
        <w:rPr>
          <w:rFonts w:asciiTheme="minorHAnsi" w:hAnsiTheme="minorHAnsi"/>
          <w:spacing w:val="2"/>
        </w:rPr>
        <w:t>.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>Em complemento, estipula o art. </w:t>
      </w:r>
      <w:hyperlink r:id="rId9" w:tooltip="Artigo 37 da Lei nº 9.514 de 20 de Novembro de 1997" w:history="1">
        <w:r w:rsidRPr="00284023">
          <w:rPr>
            <w:rStyle w:val="Hyperlink"/>
            <w:rFonts w:asciiTheme="minorHAnsi" w:hAnsiTheme="minorHAnsi"/>
            <w:color w:val="auto"/>
            <w:spacing w:val="2"/>
            <w:u w:val="none"/>
          </w:rPr>
          <w:t>37</w:t>
        </w:r>
      </w:hyperlink>
      <w:r w:rsidRPr="00284023">
        <w:rPr>
          <w:rFonts w:asciiTheme="minorHAnsi" w:hAnsiTheme="minorHAnsi"/>
          <w:spacing w:val="2"/>
        </w:rPr>
        <w:t>-Ada Lei </w:t>
      </w:r>
      <w:hyperlink r:id="rId10" w:tooltip="Lei nº 9.514, de 20 de novembro de 1997." w:history="1">
        <w:r w:rsidRPr="00284023">
          <w:rPr>
            <w:rStyle w:val="Hyperlink"/>
            <w:rFonts w:asciiTheme="minorHAnsi" w:hAnsiTheme="minorHAnsi"/>
            <w:color w:val="auto"/>
            <w:spacing w:val="2"/>
            <w:u w:val="none"/>
          </w:rPr>
          <w:t>9.514</w:t>
        </w:r>
      </w:hyperlink>
      <w:r w:rsidRPr="00284023">
        <w:rPr>
          <w:rFonts w:asciiTheme="minorHAnsi" w:hAnsiTheme="minorHAnsi"/>
          <w:spacing w:val="2"/>
        </w:rPr>
        <w:t>/1997:</w:t>
      </w:r>
    </w:p>
    <w:p w:rsidR="00284023" w:rsidRPr="00284023" w:rsidRDefault="00284023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284023" w:rsidRPr="00284023" w:rsidRDefault="00284023" w:rsidP="001E758C">
      <w:pPr>
        <w:pStyle w:val="NormalWeb"/>
        <w:shd w:val="clear" w:color="auto" w:fill="FFFFFF"/>
        <w:spacing w:before="0" w:beforeAutospacing="0" w:after="0" w:afterAutospacing="0" w:line="360" w:lineRule="auto"/>
        <w:ind w:left="2835"/>
        <w:jc w:val="both"/>
        <w:rPr>
          <w:rFonts w:asciiTheme="minorHAnsi" w:hAnsiTheme="minorHAnsi"/>
          <w:spacing w:val="2"/>
        </w:rPr>
      </w:pPr>
      <w:r w:rsidRPr="00284023">
        <w:rPr>
          <w:rFonts w:asciiTheme="minorHAnsi" w:hAnsiTheme="minorHAnsi"/>
          <w:spacing w:val="2"/>
        </w:rPr>
        <w:t>“Art. 37-A. O fiduciante pagará ao fiduciário, ou a quem vier a sucedê-lo, a título de taxa de ocupação do imóvel, por mês</w:t>
      </w:r>
      <w:r w:rsidR="00AE2CC5">
        <w:rPr>
          <w:rFonts w:asciiTheme="minorHAnsi" w:hAnsiTheme="minorHAnsi"/>
          <w:spacing w:val="2"/>
        </w:rPr>
        <w:t xml:space="preserve"> </w:t>
      </w:r>
      <w:r w:rsidRPr="00284023">
        <w:rPr>
          <w:rFonts w:asciiTheme="minorHAnsi" w:hAnsiTheme="minorHAnsi"/>
          <w:spacing w:val="2"/>
        </w:rPr>
        <w:t>ou fração, valor correspondente a um por cento do valor a que se refere o inc. VI do art. 24, computado e exigível desde a data da alienação em leilão até a data em que o fiduciário, ou seus sucessores, vier a ser imitido na posse do imóvel.”</w:t>
      </w:r>
    </w:p>
    <w:p w:rsidR="00284023" w:rsidRDefault="001E758C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lastRenderedPageBreak/>
        <w:t>Dessa forma, O Autor</w:t>
      </w:r>
      <w:r w:rsidR="00284023" w:rsidRPr="00284023">
        <w:rPr>
          <w:rFonts w:asciiTheme="minorHAnsi" w:hAnsiTheme="minorHAnsi"/>
          <w:spacing w:val="2"/>
        </w:rPr>
        <w:t xml:space="preserve"> não só faz jus à </w:t>
      </w:r>
      <w:r>
        <w:rPr>
          <w:rFonts w:asciiTheme="minorHAnsi" w:hAnsiTheme="minorHAnsi"/>
          <w:spacing w:val="2"/>
        </w:rPr>
        <w:t>imissão</w:t>
      </w:r>
      <w:r w:rsidR="00284023" w:rsidRPr="00284023">
        <w:rPr>
          <w:rFonts w:asciiTheme="minorHAnsi" w:hAnsiTheme="minorHAnsi"/>
          <w:spacing w:val="2"/>
        </w:rPr>
        <w:t xml:space="preserve"> liminar da posse, como, igualmente, à indenização pela indevida ocupação do bem à taxa de 1% do valor d</w:t>
      </w:r>
      <w:r>
        <w:rPr>
          <w:rFonts w:asciiTheme="minorHAnsi" w:hAnsiTheme="minorHAnsi"/>
          <w:spacing w:val="2"/>
        </w:rPr>
        <w:t xml:space="preserve">o imóvel estipulado no contrato, equivalente ao valor da alienação do bem em 1º leilão, conforme art. 27, §1º da Lei 9514/97, desde a data do leilão, </w:t>
      </w:r>
      <w:r w:rsidR="00284023" w:rsidRPr="00284023">
        <w:rPr>
          <w:rFonts w:asciiTheme="minorHAnsi" w:hAnsiTheme="minorHAnsi"/>
          <w:spacing w:val="2"/>
        </w:rPr>
        <w:t>até a data da efetiva desocupação do imóvel.</w:t>
      </w:r>
    </w:p>
    <w:p w:rsidR="001E758C" w:rsidRDefault="001E758C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1E758C" w:rsidRDefault="001E758C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 xml:space="preserve">Ressalte-se que a jurisprudência pátria do Superior Tribunal de Justiça garante que o valor da taxa de ocupação é devido ao Arrematante/Autor desde a data do efetivo leilão, </w:t>
      </w:r>
      <w:r w:rsidR="00817944">
        <w:rPr>
          <w:rFonts w:asciiTheme="minorHAnsi" w:hAnsiTheme="minorHAnsi"/>
          <w:spacing w:val="2"/>
        </w:rPr>
        <w:t xml:space="preserve">e não da </w:t>
      </w:r>
      <w:r>
        <w:rPr>
          <w:rFonts w:asciiTheme="minorHAnsi" w:hAnsiTheme="minorHAnsi"/>
          <w:spacing w:val="2"/>
        </w:rPr>
        <w:t>data do registro da propriedade em seu nome</w:t>
      </w:r>
      <w:r w:rsidR="00817944">
        <w:rPr>
          <w:rFonts w:asciiTheme="minorHAnsi" w:hAnsiTheme="minorHAnsi"/>
          <w:spacing w:val="2"/>
        </w:rPr>
        <w:t>, ou seja, o marco para decidir se a taxa de ocupação compete ao credor fiduciário ou ao arrematante é a data da arrematação</w:t>
      </w:r>
      <w:r>
        <w:rPr>
          <w:rFonts w:asciiTheme="minorHAnsi" w:hAnsiTheme="minorHAnsi"/>
          <w:spacing w:val="2"/>
        </w:rPr>
        <w:t xml:space="preserve">, </w:t>
      </w:r>
      <w:r>
        <w:rPr>
          <w:rFonts w:asciiTheme="minorHAnsi" w:hAnsiTheme="minorHAnsi"/>
          <w:i/>
          <w:spacing w:val="2"/>
        </w:rPr>
        <w:t>in verbis</w:t>
      </w:r>
      <w:r>
        <w:rPr>
          <w:rFonts w:asciiTheme="minorHAnsi" w:hAnsiTheme="minorHAnsi"/>
          <w:spacing w:val="2"/>
        </w:rPr>
        <w:t>:</w:t>
      </w:r>
    </w:p>
    <w:p w:rsidR="001E758C" w:rsidRDefault="001E758C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>RECURSO ESPECIAL. VIOLAÇÃO AO ART. 535, II, DO CPC/1973.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ALIENAÇÃO FIDUCIÁRIA DE IMÓVEL. ART. 37-A DA LEI N° 9.514/97.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AÇÃO DE COBRANÇA DE TAXA DE OCUPAÇÃO. BEM ARREMATADO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EM LEILÃO EXTRAJUDICIAL. ILEGITIMIDADE ATIVA AD CAUSAM DO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CREDOR FIDUCIÁRIO APÓS A ARREMATAÇÃO. LEGITIMIDADE DO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ARREMATANTE. FALTA DE PREQUESTIONAMENTO. DISSÍDIO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JURISPRUDENCIAL. SIMILITUDE FÁTICA NÃO COMPROVADA.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>1. Não há violação ao artigo 535, II, do CPC/1973, quando embora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rejeitados os embargos de declaração, a matéria em exame foi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devidamente enfrentada pelo Tribunal de origem, que emitiu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pronunciamento de forma fundamentada, ainda que em sentido contrário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à pretensão da recorrente.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>2. Dispõe o art. 37-A da Lei n. 9.514/1997 que "o fiduciante pagará ao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fiduciário, ou a quem vier a sucedê-lo, a título de taxa de ocupação do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imóvel, por mês ou fração, valor correspondente a um por cento do valor a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que se refere o inciso VI do art. 24, computado e exigível desde a data da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alienação em leilão até a data em que o fiduciário, ou seus sucessores,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vier a ser imitido na posse do imóvel''.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lastRenderedPageBreak/>
        <w:t>3. “A mens legis, ao determinar e disciplinar a fixação da taxa de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ocupação, tem por objetivo compensar o novo proprietário em razão do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tempo em que se vê privado da posse do bem adquirido, cabendo ao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antigo devedor fiduciante, sob pena de evidente enriquecimento sem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causa, desembolsar o valor correspondente ao período no qual, mesmo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sem título legítimo, ainda usufrui do imóvel” (REsp 1328656/GO, Rel.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Ministro MARCO BUZZI, QUARTA TURMA, DJe 18/09/2012).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 xml:space="preserve">4. </w:t>
      </w:r>
      <w:r w:rsidRPr="00817944">
        <w:rPr>
          <w:rFonts w:asciiTheme="minorHAnsi" w:hAnsiTheme="minorHAnsi"/>
          <w:spacing w:val="2"/>
          <w:u w:val="single"/>
        </w:rPr>
        <w:t>A legitimidade ativa para a ação de cobrança da taxa de ocupação é,</w:t>
      </w:r>
      <w:r w:rsidRPr="00817944">
        <w:rPr>
          <w:rFonts w:asciiTheme="minorHAnsi" w:hAnsiTheme="minorHAnsi"/>
          <w:spacing w:val="2"/>
          <w:u w:val="single"/>
        </w:rPr>
        <w:t xml:space="preserve"> </w:t>
      </w:r>
      <w:r w:rsidRPr="00817944">
        <w:rPr>
          <w:rFonts w:asciiTheme="minorHAnsi" w:hAnsiTheme="minorHAnsi"/>
          <w:spacing w:val="2"/>
          <w:u w:val="single"/>
        </w:rPr>
        <w:t>nos termos do art. 37-A da Lei n. 9.514/1997, do credor fiduciário ou do</w:t>
      </w:r>
      <w:r w:rsidRPr="00817944">
        <w:rPr>
          <w:rFonts w:asciiTheme="minorHAnsi" w:hAnsiTheme="minorHAnsi"/>
          <w:spacing w:val="2"/>
          <w:u w:val="single"/>
        </w:rPr>
        <w:t xml:space="preserve"> </w:t>
      </w:r>
      <w:r w:rsidRPr="00817944">
        <w:rPr>
          <w:rFonts w:asciiTheme="minorHAnsi" w:hAnsiTheme="minorHAnsi"/>
          <w:spacing w:val="2"/>
          <w:u w:val="single"/>
        </w:rPr>
        <w:t>arrematante do bem dado em garantia fiduciária, a depender do momento</w:t>
      </w:r>
      <w:r w:rsidRPr="00817944">
        <w:rPr>
          <w:rFonts w:asciiTheme="minorHAnsi" w:hAnsiTheme="minorHAnsi"/>
          <w:spacing w:val="2"/>
          <w:u w:val="single"/>
        </w:rPr>
        <w:t xml:space="preserve"> </w:t>
      </w:r>
      <w:r w:rsidRPr="00817944">
        <w:rPr>
          <w:rFonts w:asciiTheme="minorHAnsi" w:hAnsiTheme="minorHAnsi"/>
          <w:spacing w:val="2"/>
          <w:u w:val="single"/>
        </w:rPr>
        <w:t>em que proposta a demanda e o período de sua abrangência</w:t>
      </w:r>
      <w:r w:rsidRPr="001E758C">
        <w:rPr>
          <w:rFonts w:asciiTheme="minorHAnsi" w:hAnsiTheme="minorHAnsi"/>
          <w:spacing w:val="2"/>
        </w:rPr>
        <w:t>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 xml:space="preserve">5. </w:t>
      </w:r>
      <w:r w:rsidRPr="00817944">
        <w:rPr>
          <w:rFonts w:asciiTheme="minorHAnsi" w:hAnsiTheme="minorHAnsi"/>
          <w:spacing w:val="2"/>
          <w:u w:val="single"/>
        </w:rPr>
        <w:t>Ajuizada a ação de cobrança em momento anterior à arrematação do</w:t>
      </w:r>
      <w:r w:rsidRPr="00817944">
        <w:rPr>
          <w:rFonts w:asciiTheme="minorHAnsi" w:hAnsiTheme="minorHAnsi"/>
          <w:spacing w:val="2"/>
          <w:u w:val="single"/>
        </w:rPr>
        <w:t xml:space="preserve"> </w:t>
      </w:r>
      <w:r w:rsidRPr="00817944">
        <w:rPr>
          <w:rFonts w:asciiTheme="minorHAnsi" w:hAnsiTheme="minorHAnsi"/>
          <w:spacing w:val="2"/>
          <w:u w:val="single"/>
        </w:rPr>
        <w:t>bem, é o credor fiduciário o legitimado para a cobrança da taxa referida.</w:t>
      </w:r>
      <w:r w:rsidRPr="00817944">
        <w:rPr>
          <w:rFonts w:asciiTheme="minorHAnsi" w:hAnsiTheme="minorHAnsi"/>
          <w:spacing w:val="2"/>
          <w:u w:val="single"/>
        </w:rPr>
        <w:t xml:space="preserve"> </w:t>
      </w:r>
      <w:r w:rsidRPr="00817944">
        <w:rPr>
          <w:rFonts w:asciiTheme="minorHAnsi" w:hAnsiTheme="minorHAnsi"/>
          <w:spacing w:val="2"/>
          <w:u w:val="single"/>
        </w:rPr>
        <w:t>Por outro lado, proposta em momento em que já havida a arrematação, é</w:t>
      </w:r>
      <w:r w:rsidRPr="00817944">
        <w:rPr>
          <w:rFonts w:asciiTheme="minorHAnsi" w:hAnsiTheme="minorHAnsi"/>
          <w:spacing w:val="2"/>
          <w:u w:val="single"/>
        </w:rPr>
        <w:t xml:space="preserve"> </w:t>
      </w:r>
      <w:r w:rsidRPr="00817944">
        <w:rPr>
          <w:rFonts w:asciiTheme="minorHAnsi" w:hAnsiTheme="minorHAnsi"/>
          <w:spacing w:val="2"/>
          <w:u w:val="single"/>
        </w:rPr>
        <w:t>do arrematante a legitimidade ativa da ação de cobrança da taxa de</w:t>
      </w:r>
      <w:r w:rsidRPr="00817944">
        <w:rPr>
          <w:rFonts w:asciiTheme="minorHAnsi" w:hAnsiTheme="minorHAnsi"/>
          <w:spacing w:val="2"/>
          <w:u w:val="single"/>
        </w:rPr>
        <w:t xml:space="preserve"> </w:t>
      </w:r>
      <w:r w:rsidRPr="00817944">
        <w:rPr>
          <w:rFonts w:asciiTheme="minorHAnsi" w:hAnsiTheme="minorHAnsi"/>
          <w:spacing w:val="2"/>
          <w:u w:val="single"/>
        </w:rPr>
        <w:t>ocupação</w:t>
      </w:r>
      <w:r w:rsidRPr="001E758C">
        <w:rPr>
          <w:rFonts w:asciiTheme="minorHAnsi" w:hAnsiTheme="minorHAnsi"/>
          <w:spacing w:val="2"/>
        </w:rPr>
        <w:t>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>6. É entendimento assente do Superior Tribunal de Justiça a exigência do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 xml:space="preserve">prequestionamento dos dispositivos </w:t>
      </w:r>
      <w:r>
        <w:rPr>
          <w:rFonts w:asciiTheme="minorHAnsi" w:hAnsiTheme="minorHAnsi"/>
          <w:spacing w:val="2"/>
        </w:rPr>
        <w:t xml:space="preserve">tidos por violados, ainda que a </w:t>
      </w:r>
      <w:r w:rsidRPr="001E758C">
        <w:rPr>
          <w:rFonts w:asciiTheme="minorHAnsi" w:hAnsiTheme="minorHAnsi"/>
          <w:spacing w:val="2"/>
        </w:rPr>
        <w:t>contrariedade tenha surgido no julgamento do próprio acórdão recorrido.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Incidem por analogia, na espécie, as Súmulas 282 e 356 do Supremo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Tribunal Federal.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>7. Não se conhece de recurso especial com base na alínea "c" do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permissivo constitucional, quando o julgado for fundado em fatos e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provas, como ora se apresenta, por ser inviável a demonstração de</w:t>
      </w:r>
      <w:r>
        <w:rPr>
          <w:rFonts w:asciiTheme="minorHAnsi" w:hAnsiTheme="minorHAnsi"/>
          <w:spacing w:val="2"/>
        </w:rPr>
        <w:t xml:space="preserve"> </w:t>
      </w:r>
      <w:r w:rsidRPr="001E758C">
        <w:rPr>
          <w:rFonts w:asciiTheme="minorHAnsi" w:hAnsiTheme="minorHAnsi"/>
          <w:spacing w:val="2"/>
        </w:rPr>
        <w:t>similitude fática. Precedentes.</w:t>
      </w:r>
    </w:p>
    <w:p w:rsidR="001E758C" w:rsidRPr="001E758C" w:rsidRDefault="001E758C" w:rsidP="00817944">
      <w:pPr>
        <w:pStyle w:val="NormalWeb"/>
        <w:shd w:val="clear" w:color="auto" w:fill="FFFFFF"/>
        <w:spacing w:before="0" w:beforeAutospacing="0" w:after="0" w:afterAutospacing="0" w:line="360" w:lineRule="auto"/>
        <w:ind w:left="2552"/>
        <w:jc w:val="both"/>
        <w:rPr>
          <w:rFonts w:asciiTheme="minorHAnsi" w:hAnsiTheme="minorHAnsi"/>
          <w:spacing w:val="2"/>
        </w:rPr>
      </w:pPr>
      <w:r w:rsidRPr="001E758C">
        <w:rPr>
          <w:rFonts w:asciiTheme="minorHAnsi" w:hAnsiTheme="minorHAnsi"/>
          <w:spacing w:val="2"/>
        </w:rPr>
        <w:t>8. Recursos especiais não providos.</w:t>
      </w:r>
      <w:r w:rsidR="00817944">
        <w:rPr>
          <w:rFonts w:asciiTheme="minorHAnsi" w:hAnsiTheme="minorHAnsi"/>
          <w:spacing w:val="2"/>
        </w:rPr>
        <w:t xml:space="preserve"> (STJ. Resp 1622012 – SP. Ministro Luis Felipe Salomão. Julgado em 11.10.2016. Grifou-se)</w:t>
      </w:r>
    </w:p>
    <w:p w:rsidR="00284023" w:rsidRDefault="00817944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lastRenderedPageBreak/>
        <w:t xml:space="preserve">Portanto, o Autor faz jus ao arbitramento da taxa de ocupação, correspondente a 1% do valor do imóvel, a contar da data da arrematação até a efetiva imissão na posse para que não ocorra o enriquecimento ilícito do Réu que está ocupando o imóvel de forma indevida. </w:t>
      </w:r>
    </w:p>
    <w:p w:rsidR="00817944" w:rsidRDefault="00817944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</w:p>
    <w:p w:rsidR="001E758C" w:rsidRPr="00284023" w:rsidRDefault="00817944" w:rsidP="0028402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/>
          <w:spacing w:val="2"/>
        </w:rPr>
      </w:pPr>
      <w:r>
        <w:rPr>
          <w:rFonts w:asciiTheme="minorHAnsi" w:hAnsiTheme="minorHAnsi"/>
          <w:spacing w:val="2"/>
        </w:rPr>
        <w:t>Além da taxa de ocupação, desde já se requer igualmente a condenação do Réu aos valores adiantados pelo Autor à título das taxas de condomínio e IPTU mensais da data da arrematação até a efetiva imissão na posse</w:t>
      </w:r>
      <w:r w:rsidR="00E97DCF">
        <w:rPr>
          <w:rFonts w:asciiTheme="minorHAnsi" w:hAnsiTheme="minorHAnsi"/>
          <w:spacing w:val="2"/>
        </w:rPr>
        <w:t>,</w:t>
      </w:r>
      <w:r>
        <w:rPr>
          <w:rFonts w:asciiTheme="minorHAnsi" w:hAnsiTheme="minorHAnsi"/>
          <w:spacing w:val="2"/>
        </w:rPr>
        <w:t xml:space="preserve"> por força do art. 27, §8º da Lei 9.514/97. </w:t>
      </w:r>
    </w:p>
    <w:p w:rsidR="00284023" w:rsidRPr="00284023" w:rsidRDefault="00284023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284023" w:rsidRDefault="003534B2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b/>
          <w:spacing w:val="2"/>
          <w:u w:val="single"/>
          <w:shd w:val="clear" w:color="auto" w:fill="FFFFFF"/>
        </w:rPr>
      </w:pPr>
      <w:r w:rsidRPr="003534B2">
        <w:rPr>
          <w:rFonts w:asciiTheme="minorHAnsi" w:hAnsiTheme="minorHAnsi" w:cs="Segoe UI"/>
          <w:b/>
          <w:spacing w:val="2"/>
          <w:shd w:val="clear" w:color="auto" w:fill="FFFFFF"/>
        </w:rPr>
        <w:t xml:space="preserve">III. </w:t>
      </w:r>
      <w:r w:rsidR="00284023" w:rsidRPr="00AE2CC5">
        <w:rPr>
          <w:rFonts w:asciiTheme="minorHAnsi" w:hAnsiTheme="minorHAnsi" w:cs="Segoe UI"/>
          <w:b/>
          <w:spacing w:val="2"/>
          <w:u w:val="single"/>
          <w:shd w:val="clear" w:color="auto" w:fill="FFFFFF"/>
        </w:rPr>
        <w:t xml:space="preserve">DO </w:t>
      </w:r>
      <w:r w:rsidR="00284023" w:rsidRPr="00AE2CC5">
        <w:rPr>
          <w:rFonts w:asciiTheme="minorHAnsi" w:hAnsiTheme="minorHAnsi" w:cs="Segoe UI"/>
          <w:b/>
          <w:spacing w:val="2"/>
          <w:u w:val="single"/>
          <w:shd w:val="clear" w:color="auto" w:fill="FFFFFF"/>
        </w:rPr>
        <w:t>PEDIDO</w:t>
      </w:r>
    </w:p>
    <w:p w:rsidR="00817944" w:rsidRPr="00AE2CC5" w:rsidRDefault="00817944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b/>
          <w:spacing w:val="2"/>
          <w:u w:val="single"/>
          <w:shd w:val="clear" w:color="auto" w:fill="FFFFFF"/>
        </w:rPr>
      </w:pPr>
    </w:p>
    <w:p w:rsidR="00284023" w:rsidRDefault="00284023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284023">
        <w:rPr>
          <w:rFonts w:asciiTheme="minorHAnsi" w:hAnsiTheme="minorHAnsi" w:cs="Segoe UI"/>
          <w:spacing w:val="2"/>
          <w:shd w:val="clear" w:color="auto" w:fill="FFFFFF"/>
        </w:rPr>
        <w:t xml:space="preserve">Diante de todo o exposto, serve a presente para requerer </w:t>
      </w:r>
      <w:r w:rsidR="00AE2CC5">
        <w:rPr>
          <w:rFonts w:asciiTheme="minorHAnsi" w:hAnsiTheme="minorHAnsi" w:cs="Segoe UI"/>
          <w:spacing w:val="2"/>
          <w:shd w:val="clear" w:color="auto" w:fill="FFFFFF"/>
        </w:rPr>
        <w:t>à</w:t>
      </w:r>
      <w:r w:rsidRPr="00284023">
        <w:rPr>
          <w:rFonts w:asciiTheme="minorHAnsi" w:hAnsiTheme="minorHAnsi" w:cs="Segoe UI"/>
          <w:spacing w:val="2"/>
          <w:shd w:val="clear" w:color="auto" w:fill="FFFFFF"/>
        </w:rPr>
        <w:t xml:space="preserve"> Vossa Excelência </w:t>
      </w:r>
      <w:r w:rsidR="00817944">
        <w:rPr>
          <w:rFonts w:asciiTheme="minorHAnsi" w:hAnsiTheme="minorHAnsi" w:cs="Segoe UI"/>
          <w:spacing w:val="2"/>
          <w:shd w:val="clear" w:color="auto" w:fill="FFFFFF"/>
        </w:rPr>
        <w:t>que</w:t>
      </w:r>
      <w:r w:rsidRPr="00284023">
        <w:rPr>
          <w:rFonts w:asciiTheme="minorHAnsi" w:hAnsiTheme="minorHAnsi" w:cs="Segoe UI"/>
          <w:spacing w:val="2"/>
          <w:shd w:val="clear" w:color="auto" w:fill="FFFFFF"/>
        </w:rPr>
        <w:t>:</w:t>
      </w:r>
    </w:p>
    <w:p w:rsidR="00AE2CC5" w:rsidRDefault="00AE2CC5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817944" w:rsidRDefault="00817944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>
        <w:rPr>
          <w:rFonts w:asciiTheme="minorHAnsi" w:hAnsiTheme="minorHAnsi" w:cs="Segoe UI"/>
          <w:spacing w:val="2"/>
          <w:shd w:val="clear" w:color="auto" w:fill="FFFFFF"/>
        </w:rPr>
        <w:t>1 – seja deferida a liminar de imissão na posse, de forma inaudita altera parte, para que a desocupação ocorra em até 60 (sessenta), de acordo com o mandamento insculpido no art. 30 da Lei 9.514/97, provados os requisitos e estando a presente exordial devidamente instruída, e desde já se requer que caso a desocupação não ocorra no prazo concedido por V. Exa. que seja realizada a desocupação forçada cumprida por Oficial de Justiça</w:t>
      </w:r>
      <w:r w:rsidR="003534B2">
        <w:rPr>
          <w:rFonts w:asciiTheme="minorHAnsi" w:hAnsiTheme="minorHAnsi" w:cs="Segoe UI"/>
          <w:spacing w:val="2"/>
          <w:shd w:val="clear" w:color="auto" w:fill="FFFFFF"/>
        </w:rPr>
        <w:t>,</w:t>
      </w:r>
      <w:r>
        <w:rPr>
          <w:rFonts w:asciiTheme="minorHAnsi" w:hAnsiTheme="minorHAnsi" w:cs="Segoe UI"/>
          <w:spacing w:val="2"/>
          <w:shd w:val="clear" w:color="auto" w:fill="FFFFFF"/>
        </w:rPr>
        <w:t xml:space="preserve"> podendo contar</w:t>
      </w:r>
      <w:r w:rsidR="003534B2">
        <w:rPr>
          <w:rFonts w:asciiTheme="minorHAnsi" w:hAnsiTheme="minorHAnsi" w:cs="Segoe UI"/>
          <w:spacing w:val="2"/>
          <w:shd w:val="clear" w:color="auto" w:fill="FFFFFF"/>
        </w:rPr>
        <w:t>, inclusive,</w:t>
      </w:r>
      <w:r>
        <w:rPr>
          <w:rFonts w:asciiTheme="minorHAnsi" w:hAnsiTheme="minorHAnsi" w:cs="Segoe UI"/>
          <w:spacing w:val="2"/>
          <w:shd w:val="clear" w:color="auto" w:fill="FFFFFF"/>
        </w:rPr>
        <w:t xml:space="preserve"> com ordem de arrombamento </w:t>
      </w:r>
      <w:r w:rsidR="003534B2">
        <w:rPr>
          <w:rFonts w:asciiTheme="minorHAnsi" w:hAnsiTheme="minorHAnsi" w:cs="Segoe UI"/>
          <w:spacing w:val="2"/>
          <w:shd w:val="clear" w:color="auto" w:fill="FFFFFF"/>
        </w:rPr>
        <w:t xml:space="preserve">e auxílio de força policial. </w:t>
      </w:r>
    </w:p>
    <w:p w:rsidR="00E15641" w:rsidRDefault="00E15641" w:rsidP="00AE2C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284023" w:rsidRDefault="00E15641" w:rsidP="00E1564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Segoe UI"/>
          <w:spacing w:val="2"/>
          <w:shd w:val="clear" w:color="auto" w:fill="FFFFFF"/>
        </w:rPr>
      </w:pPr>
      <w:r>
        <w:rPr>
          <w:rFonts w:asciiTheme="minorHAnsi" w:hAnsiTheme="minorHAnsi" w:cs="Segoe UI"/>
          <w:spacing w:val="2"/>
          <w:shd w:val="clear" w:color="auto" w:fill="FFFFFF"/>
        </w:rPr>
        <w:t xml:space="preserve">2 - ao final, </w:t>
      </w:r>
      <w:r w:rsidR="00E97DCF">
        <w:rPr>
          <w:rFonts w:asciiTheme="minorHAnsi" w:hAnsiTheme="minorHAnsi" w:cs="Segoe UI"/>
          <w:spacing w:val="2"/>
          <w:shd w:val="clear" w:color="auto" w:fill="FFFFFF"/>
        </w:rPr>
        <w:t>que seja julgada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 xml:space="preserve"> procedente a presente ação, tornando definitiva a </w:t>
      </w:r>
      <w:r w:rsidR="003534B2">
        <w:rPr>
          <w:rFonts w:asciiTheme="minorHAnsi" w:hAnsiTheme="minorHAnsi" w:cs="Segoe UI"/>
          <w:spacing w:val="2"/>
          <w:shd w:val="clear" w:color="auto" w:fill="FFFFFF"/>
        </w:rPr>
        <w:t>imissão na posse, com a condenação do R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>éu no pagamento das perdas e danos consubstanciadas nos alugueres de 1% do valor do contrato, por mês de ocupação, nos termos do art. </w:t>
      </w:r>
      <w:hyperlink r:id="rId11" w:tooltip="Artigo 37A da Lei nº 9.514 de 20 de Novembro de 1997" w:history="1">
        <w:r w:rsidR="00284023" w:rsidRPr="00284023">
          <w:rPr>
            <w:rStyle w:val="Hyperlink"/>
            <w:rFonts w:asciiTheme="minorHAnsi" w:hAnsiTheme="minorHAnsi" w:cs="Segoe UI"/>
            <w:color w:val="auto"/>
            <w:spacing w:val="2"/>
            <w:u w:val="none"/>
          </w:rPr>
          <w:t>37-A</w:t>
        </w:r>
      </w:hyperlink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> da Lei </w:t>
      </w:r>
      <w:hyperlink r:id="rId12" w:tooltip="Lei nº 9.514, de 20 de novembro de 1997." w:history="1">
        <w:r w:rsidR="00284023" w:rsidRPr="00284023">
          <w:rPr>
            <w:rStyle w:val="Hyperlink"/>
            <w:rFonts w:asciiTheme="minorHAnsi" w:hAnsiTheme="minorHAnsi" w:cs="Segoe UI"/>
            <w:color w:val="auto"/>
            <w:spacing w:val="2"/>
            <w:u w:val="none"/>
          </w:rPr>
          <w:t>9.514</w:t>
        </w:r>
      </w:hyperlink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>/1997, pelo período em que permanecer no imóvel após o lei</w:t>
      </w:r>
      <w:r w:rsidR="00E97DCF">
        <w:rPr>
          <w:rFonts w:asciiTheme="minorHAnsi" w:hAnsiTheme="minorHAnsi" w:cs="Segoe UI"/>
          <w:spacing w:val="2"/>
          <w:shd w:val="clear" w:color="auto" w:fill="FFFFFF"/>
        </w:rPr>
        <w:t xml:space="preserve">lão </w:t>
      </w:r>
      <w:r>
        <w:rPr>
          <w:rFonts w:asciiTheme="minorHAnsi" w:hAnsiTheme="minorHAnsi" w:cs="Segoe UI"/>
          <w:spacing w:val="2"/>
          <w:shd w:val="clear" w:color="auto" w:fill="FFFFFF"/>
        </w:rPr>
        <w:t xml:space="preserve">ocorrido no dia XX/XX/XXXX, somado aos valores mensais pagos à título de IPTU e condomínio durante a posse injustificada do Réu, 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 xml:space="preserve">além das custas, </w:t>
      </w:r>
      <w:r w:rsidR="003534B2">
        <w:rPr>
          <w:rFonts w:asciiTheme="minorHAnsi" w:hAnsiTheme="minorHAnsi" w:cs="Segoe UI"/>
          <w:spacing w:val="2"/>
          <w:shd w:val="clear" w:color="auto" w:fill="FFFFFF"/>
        </w:rPr>
        <w:t>honorários de advogado que V. Ex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>a</w:t>
      </w:r>
      <w:r w:rsidR="003534B2">
        <w:rPr>
          <w:rFonts w:asciiTheme="minorHAnsi" w:hAnsiTheme="minorHAnsi" w:cs="Segoe UI"/>
          <w:spacing w:val="2"/>
          <w:shd w:val="clear" w:color="auto" w:fill="FFFFFF"/>
        </w:rPr>
        <w:t xml:space="preserve">. 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>arbitrar e demais ônus de</w:t>
      </w:r>
      <w:r>
        <w:rPr>
          <w:rFonts w:asciiTheme="minorHAnsi" w:hAnsiTheme="minorHAnsi" w:cs="Segoe UI"/>
          <w:spacing w:val="2"/>
          <w:shd w:val="clear" w:color="auto" w:fill="FFFFFF"/>
        </w:rPr>
        <w:t xml:space="preserve"> 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>sucumbência;</w:t>
      </w:r>
    </w:p>
    <w:p w:rsidR="00E15641" w:rsidRPr="00284023" w:rsidRDefault="00E15641" w:rsidP="00AE2C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E15641" w:rsidRPr="00284023" w:rsidRDefault="00E15641" w:rsidP="00AE2CC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284023" w:rsidRDefault="003534B2" w:rsidP="00E15641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="Segoe UI"/>
          <w:spacing w:val="2"/>
          <w:shd w:val="clear" w:color="auto" w:fill="FFFFFF"/>
        </w:rPr>
      </w:pPr>
      <w:r>
        <w:rPr>
          <w:rFonts w:asciiTheme="minorHAnsi" w:hAnsiTheme="minorHAnsi" w:cs="Segoe UI"/>
          <w:spacing w:val="2"/>
          <w:shd w:val="clear" w:color="auto" w:fill="FFFFFF"/>
        </w:rPr>
        <w:lastRenderedPageBreak/>
        <w:t>3</w:t>
      </w:r>
      <w:r w:rsidR="00E15641">
        <w:rPr>
          <w:rFonts w:asciiTheme="minorHAnsi" w:hAnsiTheme="minorHAnsi" w:cs="Segoe UI"/>
          <w:spacing w:val="2"/>
          <w:shd w:val="clear" w:color="auto" w:fill="FFFFFF"/>
        </w:rPr>
        <w:t xml:space="preserve"> - 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 xml:space="preserve">a citação do Réu por Oficial de Justiça, nos termos do artigo 246, inciso II, do Código de Processo Civil, </w:t>
      </w:r>
      <w:r w:rsidR="00E15641">
        <w:rPr>
          <w:rFonts w:asciiTheme="minorHAnsi" w:hAnsiTheme="minorHAnsi" w:cs="Segoe UI"/>
          <w:spacing w:val="2"/>
          <w:shd w:val="clear" w:color="auto" w:fill="FFFFFF"/>
        </w:rPr>
        <w:t>para</w:t>
      </w:r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 xml:space="preserve"> oferecer a defesa que tiver sob pena de confissão e efeitos da revelia (</w:t>
      </w:r>
      <w:hyperlink r:id="rId13" w:tooltip="LEI Nº 13.105, DE 16 DE MARÇO DE 2015." w:history="1">
        <w:r w:rsidR="00284023" w:rsidRPr="00284023">
          <w:rPr>
            <w:rStyle w:val="Hyperlink"/>
            <w:rFonts w:asciiTheme="minorHAnsi" w:hAnsiTheme="minorHAnsi" w:cs="Segoe UI"/>
            <w:color w:val="auto"/>
            <w:spacing w:val="2"/>
            <w:u w:val="none"/>
          </w:rPr>
          <w:t>CPC</w:t>
        </w:r>
      </w:hyperlink>
      <w:r w:rsidR="00284023" w:rsidRPr="00284023">
        <w:rPr>
          <w:rFonts w:asciiTheme="minorHAnsi" w:hAnsiTheme="minorHAnsi" w:cs="Segoe UI"/>
          <w:spacing w:val="2"/>
          <w:shd w:val="clear" w:color="auto" w:fill="FFFFFF"/>
        </w:rPr>
        <w:t>, art. </w:t>
      </w:r>
      <w:hyperlink r:id="rId14" w:tooltip="Artigo 344 da Lei nº 13.105 de 16 de Março de 2015" w:history="1">
        <w:r w:rsidR="00284023" w:rsidRPr="00284023">
          <w:rPr>
            <w:rStyle w:val="Hyperlink"/>
            <w:rFonts w:asciiTheme="minorHAnsi" w:hAnsiTheme="minorHAnsi" w:cs="Segoe UI"/>
            <w:color w:val="auto"/>
            <w:spacing w:val="2"/>
            <w:u w:val="none"/>
          </w:rPr>
          <w:t>344</w:t>
        </w:r>
      </w:hyperlink>
      <w:r w:rsidR="00E97DCF">
        <w:rPr>
          <w:rFonts w:asciiTheme="minorHAnsi" w:hAnsiTheme="minorHAnsi" w:cs="Segoe UI"/>
          <w:spacing w:val="2"/>
          <w:shd w:val="clear" w:color="auto" w:fill="FFFFFF"/>
        </w:rPr>
        <w:t xml:space="preserve">). </w:t>
      </w:r>
    </w:p>
    <w:p w:rsidR="00E15641" w:rsidRPr="00284023" w:rsidRDefault="00E15641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284023" w:rsidRDefault="00284023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284023">
        <w:rPr>
          <w:rFonts w:asciiTheme="minorHAnsi" w:hAnsiTheme="minorHAnsi" w:cs="Segoe UI"/>
          <w:spacing w:val="2"/>
          <w:shd w:val="clear" w:color="auto" w:fill="FFFFFF"/>
        </w:rPr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Civil), inclusive em eventual audiência de justificação.</w:t>
      </w:r>
    </w:p>
    <w:p w:rsidR="00E15641" w:rsidRPr="00284023" w:rsidRDefault="00E15641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284023" w:rsidRDefault="00284023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  <w:r w:rsidRPr="00284023">
        <w:rPr>
          <w:rFonts w:asciiTheme="minorHAnsi" w:hAnsiTheme="minorHAnsi" w:cs="Segoe UI"/>
          <w:spacing w:val="2"/>
          <w:shd w:val="clear" w:color="auto" w:fill="FFFFFF"/>
        </w:rPr>
        <w:t>Dá-se à causa o valor de R$ XXXXXX (valor estimativo).</w:t>
      </w:r>
    </w:p>
    <w:p w:rsidR="00E15641" w:rsidRPr="00284023" w:rsidRDefault="00E15641" w:rsidP="0028402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Segoe UI"/>
          <w:spacing w:val="2"/>
          <w:shd w:val="clear" w:color="auto" w:fill="FFFFFF"/>
        </w:rPr>
      </w:pPr>
    </w:p>
    <w:p w:rsidR="00284023" w:rsidRPr="00284023" w:rsidRDefault="00284023" w:rsidP="00E156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284023">
        <w:rPr>
          <w:rFonts w:asciiTheme="minorHAnsi" w:hAnsiTheme="minorHAnsi" w:cs="Segoe UI"/>
          <w:spacing w:val="2"/>
          <w:shd w:val="clear" w:color="auto" w:fill="FFFFFF"/>
        </w:rPr>
        <w:t>Respeitosamente, pede deferimento.</w:t>
      </w:r>
    </w:p>
    <w:p w:rsidR="00284023" w:rsidRDefault="00284023" w:rsidP="00E156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284023">
        <w:rPr>
          <w:rFonts w:asciiTheme="minorHAnsi" w:hAnsiTheme="minorHAnsi" w:cs="Segoe UI"/>
          <w:spacing w:val="2"/>
          <w:shd w:val="clear" w:color="auto" w:fill="FFFFFF"/>
        </w:rPr>
        <w:t>Cidade..., de ... de ...</w:t>
      </w:r>
    </w:p>
    <w:p w:rsidR="003534B2" w:rsidRPr="00284023" w:rsidRDefault="003534B2" w:rsidP="00E156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</w:p>
    <w:p w:rsidR="00284023" w:rsidRPr="00284023" w:rsidRDefault="00284023" w:rsidP="00E156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284023">
        <w:rPr>
          <w:rFonts w:asciiTheme="minorHAnsi" w:hAnsiTheme="minorHAnsi" w:cs="Segoe UI"/>
          <w:spacing w:val="2"/>
          <w:shd w:val="clear" w:color="auto" w:fill="FFFFFF"/>
        </w:rPr>
        <w:t>Advogado</w:t>
      </w:r>
    </w:p>
    <w:p w:rsidR="00284023" w:rsidRPr="00284023" w:rsidRDefault="00284023" w:rsidP="00E15641">
      <w:pPr>
        <w:pStyle w:val="NormalWeb"/>
        <w:spacing w:before="0" w:beforeAutospacing="0" w:after="0" w:afterAutospacing="0" w:line="360" w:lineRule="auto"/>
        <w:ind w:firstLine="709"/>
        <w:jc w:val="center"/>
        <w:rPr>
          <w:rFonts w:asciiTheme="minorHAnsi" w:hAnsiTheme="minorHAnsi" w:cs="Segoe UI"/>
          <w:spacing w:val="2"/>
          <w:shd w:val="clear" w:color="auto" w:fill="FFFFFF"/>
        </w:rPr>
      </w:pPr>
      <w:r w:rsidRPr="00284023">
        <w:rPr>
          <w:rFonts w:asciiTheme="minorHAnsi" w:hAnsiTheme="minorHAnsi" w:cs="Segoe UI"/>
          <w:spacing w:val="2"/>
          <w:shd w:val="clear" w:color="auto" w:fill="FFFFFF"/>
        </w:rPr>
        <w:t>OAB/UF</w:t>
      </w:r>
    </w:p>
    <w:p w:rsidR="007D1FC3" w:rsidRPr="00284023" w:rsidRDefault="007C2F38" w:rsidP="00E15641">
      <w:pPr>
        <w:spacing w:after="0" w:line="360" w:lineRule="auto"/>
        <w:ind w:firstLine="709"/>
        <w:jc w:val="center"/>
        <w:rPr>
          <w:sz w:val="24"/>
          <w:szCs w:val="24"/>
        </w:rPr>
      </w:pPr>
    </w:p>
    <w:sectPr w:rsidR="007D1FC3" w:rsidRPr="00284023" w:rsidSect="007C2F38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60A22"/>
    <w:multiLevelType w:val="hybridMultilevel"/>
    <w:tmpl w:val="DCA6449A"/>
    <w:lvl w:ilvl="0" w:tplc="EEF6D85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240C6F"/>
    <w:multiLevelType w:val="multilevel"/>
    <w:tmpl w:val="3E54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023"/>
    <w:rsid w:val="001E758C"/>
    <w:rsid w:val="00284023"/>
    <w:rsid w:val="002E2B09"/>
    <w:rsid w:val="003534B2"/>
    <w:rsid w:val="007C2F38"/>
    <w:rsid w:val="00817944"/>
    <w:rsid w:val="00A219BD"/>
    <w:rsid w:val="00AE2CC5"/>
    <w:rsid w:val="00E077AF"/>
    <w:rsid w:val="00E15641"/>
    <w:rsid w:val="00E97DCF"/>
    <w:rsid w:val="00F9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D8BC9-DEC1-40CA-875C-9F5A870D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4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84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legislacao/1034889/lei-9514-97" TargetMode="External"/><Relationship Id="rId13" Type="http://schemas.openxmlformats.org/officeDocument/2006/relationships/hyperlink" Target="https://www.jusbrasil.com.br/legislacao/174276278/lei-13105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sbrasil.com.br/topicos/11307462/artigo-30-da-lei-n-9514-de-20-de-novembro-de-1997" TargetMode="External"/><Relationship Id="rId12" Type="http://schemas.openxmlformats.org/officeDocument/2006/relationships/hyperlink" Target="https://www.jusbrasil.com.br/legislacao/1034889/lei-9514-9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jusbrasil.com.br/legislacao/1034889/lei-9514-97" TargetMode="External"/><Relationship Id="rId11" Type="http://schemas.openxmlformats.org/officeDocument/2006/relationships/hyperlink" Target="https://www.jusbrasil.com.br/topicos/28001422/artigo-37a-da-lei-n-9514-de-20-de-novembro-de-1997" TargetMode="External"/><Relationship Id="rId5" Type="http://schemas.openxmlformats.org/officeDocument/2006/relationships/hyperlink" Target="https://www.jusbrasil.com.br/topicos/11307462/artigo-30-da-lei-n-9514-de-20-de-novembro-de-199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jusbrasil.com.br/legislacao/1034889/lei-9514-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topicos/11307242/artigo-37-da-lei-n-9514-de-20-de-novembro-de-1997" TargetMode="External"/><Relationship Id="rId14" Type="http://schemas.openxmlformats.org/officeDocument/2006/relationships/hyperlink" Target="https://www.jusbrasil.com.br/topicos/28893338/artigo-344-da-lei-n-13105-de-16-de-marco-de-201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1621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2</cp:revision>
  <dcterms:created xsi:type="dcterms:W3CDTF">2020-07-11T14:40:00Z</dcterms:created>
  <dcterms:modified xsi:type="dcterms:W3CDTF">2020-07-11T14:40:00Z</dcterms:modified>
</cp:coreProperties>
</file>