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4"/>
          <w:szCs w:val="24"/>
          <w:shd w:fill="ed7d3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shd w:fill="ed7d31" w:val="clear"/>
          <w:vertAlign w:val="baseline"/>
          <w:rtl w:val="0"/>
        </w:rPr>
        <w:t xml:space="preserve">EXEMPLOS DE TÍTULOS PARA SEU ANÚNCIO</w:t>
      </w:r>
    </w:p>
    <w:tbl>
      <w:tblPr>
        <w:tblStyle w:val="Table1"/>
        <w:tblW w:w="10456.0" w:type="dxa"/>
        <w:jc w:val="left"/>
        <w:tblInd w:w="-108.0" w:type="dxa"/>
        <w:tblLayout w:type="fixed"/>
        <w:tblLook w:val="00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PORTUGUÊS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ESPANHOL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Plazas/Vacantes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/Cupos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Últimas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Últimas vacantes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Últimos lugares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Últimos lugares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 50% de desconto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 50% de descuento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Bônus exclusivos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Bonos exclusivos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Cadastre-se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Regístrate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Cadastre-se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Regístrate gratis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Aulas gratuitas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Clases Gratuitas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Matriculas abertas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Matrículas abiertas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Abertas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Inscripciones Abiertas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De 15 ao 20 de 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Del 15 al 20 de abril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100% online e gratuito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100% online y gratuito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Oferta por tempo limitado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Oferta por tiempo limitado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7 dias de garantia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7 Días de Garantía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Vagas limitadas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Cupos limitados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F5L+dElirSY8+IYNuScru7N7cA==">CgMxLjA4AHIhMUl2NjgyNUltcnkwZ2N0am9JdzBjcjMtX01RTVE1UUVq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