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FF0" w:rsidRDefault="00EB5FF0" w:rsidP="00EB5FF0">
      <w:pPr>
        <w:rPr>
          <w:rFonts w:ascii="Arial" w:hAnsi="Arial" w:cs="Arial"/>
          <w:color w:val="7F7F7F" w:themeColor="text1" w:themeTint="80"/>
          <w:kern w:val="2"/>
          <w:sz w:val="22"/>
          <w:szCs w:val="22"/>
        </w:rPr>
      </w:pPr>
      <w:r>
        <w:rPr>
          <w:rFonts w:ascii="Arial" w:hAnsi="Arial" w:cs="Arial"/>
          <w:b/>
          <w:color w:val="7F7F7F" w:themeColor="text1" w:themeTint="80"/>
          <w:sz w:val="22"/>
          <w:szCs w:val="22"/>
        </w:rPr>
        <w:t>Curso</w:t>
      </w:r>
      <w:r>
        <w:rPr>
          <w:rFonts w:ascii="Arial" w:hAnsi="Arial" w:cs="Arial"/>
          <w:color w:val="7F7F7F" w:themeColor="text1" w:themeTint="80"/>
          <w:sz w:val="22"/>
          <w:szCs w:val="22"/>
        </w:rPr>
        <w:t>: MASTER BIM AUTHORITY</w:t>
      </w:r>
    </w:p>
    <w:p w:rsidR="00EB5FF0" w:rsidRDefault="00EB5FF0" w:rsidP="00EB5FF0">
      <w:pPr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color w:val="7F7F7F" w:themeColor="text1" w:themeTint="80"/>
          <w:sz w:val="22"/>
          <w:szCs w:val="22"/>
        </w:rPr>
        <w:t>Disciplina</w:t>
      </w:r>
      <w:r>
        <w:rPr>
          <w:rFonts w:ascii="Arial" w:hAnsi="Arial" w:cs="Arial"/>
          <w:color w:val="7F7F7F" w:themeColor="text1" w:themeTint="80"/>
          <w:sz w:val="22"/>
          <w:szCs w:val="22"/>
        </w:rPr>
        <w:t xml:space="preserve">: Ferramentas BIM para Estruturas </w:t>
      </w:r>
      <w:proofErr w:type="spellStart"/>
      <w:r>
        <w:rPr>
          <w:rFonts w:ascii="Arial" w:hAnsi="Arial" w:cs="Arial"/>
          <w:color w:val="7F7F7F" w:themeColor="text1" w:themeTint="80"/>
          <w:sz w:val="22"/>
          <w:szCs w:val="22"/>
        </w:rPr>
        <w:t>Revit</w:t>
      </w:r>
      <w:proofErr w:type="spellEnd"/>
      <w:r>
        <w:rPr>
          <w:rFonts w:ascii="Arial" w:hAnsi="Arial" w:cs="Arial"/>
          <w:color w:val="7F7F7F" w:themeColor="text1" w:themeTint="80"/>
          <w:sz w:val="22"/>
          <w:szCs w:val="22"/>
        </w:rPr>
        <w:t xml:space="preserve"> Modelagem</w:t>
      </w:r>
    </w:p>
    <w:p w:rsidR="00EB5FF0" w:rsidRDefault="00EB5FF0" w:rsidP="00EB5FF0">
      <w:pPr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color w:val="7F7F7F" w:themeColor="text1" w:themeTint="80"/>
          <w:sz w:val="22"/>
          <w:szCs w:val="22"/>
        </w:rPr>
        <w:t>Responsável</w:t>
      </w:r>
      <w:r>
        <w:rPr>
          <w:rFonts w:ascii="Arial" w:hAnsi="Arial" w:cs="Arial"/>
          <w:color w:val="7F7F7F" w:themeColor="text1" w:themeTint="80"/>
          <w:sz w:val="22"/>
          <w:szCs w:val="22"/>
        </w:rPr>
        <w:t>: Li Chong Lee Bacelar de Castro</w:t>
      </w:r>
    </w:p>
    <w:p w:rsidR="00EB5FF0" w:rsidRDefault="00EB5FF0" w:rsidP="00EB5FF0">
      <w:pPr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color w:val="7F7F7F" w:themeColor="text1" w:themeTint="80"/>
          <w:sz w:val="22"/>
          <w:szCs w:val="22"/>
        </w:rPr>
        <w:t>Identificação da tarefa</w:t>
      </w:r>
      <w:r>
        <w:rPr>
          <w:rFonts w:ascii="Arial" w:hAnsi="Arial" w:cs="Arial"/>
          <w:color w:val="7F7F7F" w:themeColor="text1" w:themeTint="80"/>
          <w:sz w:val="22"/>
          <w:szCs w:val="22"/>
        </w:rPr>
        <w:t xml:space="preserve">: Tarefa </w:t>
      </w:r>
      <w:r>
        <w:rPr>
          <w:rFonts w:ascii="Arial" w:hAnsi="Arial" w:cs="Arial"/>
          <w:color w:val="7F7F7F" w:themeColor="text1" w:themeTint="80"/>
          <w:sz w:val="22"/>
          <w:szCs w:val="22"/>
        </w:rPr>
        <w:t>2</w:t>
      </w:r>
      <w:r>
        <w:rPr>
          <w:rFonts w:ascii="Arial" w:hAnsi="Arial" w:cs="Arial"/>
          <w:color w:val="7F7F7F" w:themeColor="text1" w:themeTint="80"/>
          <w:sz w:val="22"/>
          <w:szCs w:val="22"/>
        </w:rPr>
        <w:t xml:space="preserve">. Unidade </w:t>
      </w:r>
      <w:r>
        <w:rPr>
          <w:rFonts w:ascii="Arial" w:hAnsi="Arial" w:cs="Arial"/>
          <w:color w:val="7F7F7F" w:themeColor="text1" w:themeTint="80"/>
          <w:sz w:val="22"/>
          <w:szCs w:val="22"/>
        </w:rPr>
        <w:t>2</w:t>
      </w:r>
      <w:r>
        <w:rPr>
          <w:rFonts w:ascii="Arial" w:hAnsi="Arial" w:cs="Arial"/>
          <w:color w:val="7F7F7F" w:themeColor="text1" w:themeTint="80"/>
          <w:sz w:val="22"/>
          <w:szCs w:val="22"/>
        </w:rPr>
        <w:t>. Envio de arquivo.</w:t>
      </w:r>
    </w:p>
    <w:p w:rsidR="00EB5FF0" w:rsidRDefault="00EB5FF0" w:rsidP="00EB5FF0">
      <w:pPr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color w:val="7F7F7F" w:themeColor="text1" w:themeTint="80"/>
          <w:sz w:val="22"/>
          <w:szCs w:val="22"/>
        </w:rPr>
        <w:t>Pontuação</w:t>
      </w:r>
      <w:r>
        <w:rPr>
          <w:rFonts w:ascii="Arial" w:hAnsi="Arial" w:cs="Arial"/>
          <w:color w:val="7F7F7F" w:themeColor="text1" w:themeTint="80"/>
          <w:sz w:val="22"/>
          <w:szCs w:val="22"/>
        </w:rPr>
        <w:t>: 30 pontos de 100.</w:t>
      </w:r>
    </w:p>
    <w:p w:rsidR="00FC33CB" w:rsidRPr="00C50042" w:rsidRDefault="00FC33CB" w:rsidP="00FC33CB">
      <w:pPr>
        <w:jc w:val="center"/>
        <w:rPr>
          <w:rFonts w:ascii="Arial" w:hAnsi="Arial" w:cs="Arial"/>
          <w:b/>
          <w:sz w:val="22"/>
          <w:szCs w:val="22"/>
        </w:rPr>
      </w:pPr>
    </w:p>
    <w:p w:rsidR="00FC33CB" w:rsidRPr="00C50042" w:rsidRDefault="00EB5FF0" w:rsidP="00FC33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FC33CB" w:rsidRPr="00C50042">
        <w:rPr>
          <w:rFonts w:ascii="Arial" w:hAnsi="Arial" w:cs="Arial"/>
          <w:b/>
          <w:sz w:val="22"/>
          <w:szCs w:val="22"/>
        </w:rPr>
        <w:t xml:space="preserve">TAREFA </w:t>
      </w:r>
      <w:r>
        <w:rPr>
          <w:rFonts w:ascii="Arial" w:hAnsi="Arial" w:cs="Arial"/>
          <w:b/>
          <w:sz w:val="22"/>
          <w:szCs w:val="22"/>
        </w:rPr>
        <w:t>2</w:t>
      </w:r>
    </w:p>
    <w:p w:rsidR="00FC33CB" w:rsidRPr="00C50042" w:rsidRDefault="00FC33CB" w:rsidP="00FC33CB">
      <w:pPr>
        <w:ind w:right="-568"/>
        <w:jc w:val="both"/>
        <w:rPr>
          <w:rFonts w:ascii="Arial" w:hAnsi="Arial" w:cs="Arial"/>
          <w:sz w:val="22"/>
          <w:szCs w:val="22"/>
        </w:rPr>
      </w:pPr>
    </w:p>
    <w:p w:rsidR="0041437C" w:rsidRPr="007D11E1" w:rsidRDefault="0041437C" w:rsidP="0041437C">
      <w:pPr>
        <w:spacing w:after="120"/>
        <w:ind w:right="-56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41622C" w:rsidRPr="0041622C" w:rsidRDefault="0041622C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  <w:r w:rsidRPr="0041622C">
        <w:rPr>
          <w:rFonts w:ascii="Arial" w:hAnsi="Arial" w:cs="Arial"/>
          <w:szCs w:val="24"/>
        </w:rPr>
        <w:t>No nosso curso, definimos a Gestão Estratégica como “a atividade que reúne as mais relevantes ações dos executivos com o objetivo de melhorar a performance da empresa, contemplando decisões relativas a pessoas, recursos e processos, no contexto dos ambientes interno e externo, buscando atender ou superar as expectativas de seus principais stakeholders”. No entanto, alguns autores discordam que o atendimento das expectativas dos stakeholders deva ser postulado como função-objetivo da empresa.</w:t>
      </w:r>
    </w:p>
    <w:p w:rsidR="0041622C" w:rsidRPr="0041622C" w:rsidRDefault="0041622C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  <w:r w:rsidRPr="0041622C">
        <w:rPr>
          <w:rFonts w:ascii="Arial" w:hAnsi="Arial" w:cs="Arial"/>
          <w:szCs w:val="24"/>
        </w:rPr>
        <w:t>Faça a leitura do texto complementar, disponível na Biblioteca da disciplina, “</w:t>
      </w:r>
      <w:proofErr w:type="spellStart"/>
      <w:r w:rsidRPr="0041622C">
        <w:rPr>
          <w:rFonts w:ascii="Arial" w:hAnsi="Arial" w:cs="Arial"/>
          <w:b/>
          <w:szCs w:val="24"/>
        </w:rPr>
        <w:t>Crítica</w:t>
      </w:r>
      <w:proofErr w:type="spellEnd"/>
      <w:r w:rsidRPr="0041622C">
        <w:rPr>
          <w:rFonts w:ascii="Arial" w:hAnsi="Arial" w:cs="Arial"/>
          <w:b/>
          <w:szCs w:val="24"/>
        </w:rPr>
        <w:t xml:space="preserve"> à Teoria dos Stakeholders como </w:t>
      </w:r>
      <w:proofErr w:type="spellStart"/>
      <w:r w:rsidRPr="0041622C">
        <w:rPr>
          <w:rFonts w:ascii="Arial" w:hAnsi="Arial" w:cs="Arial"/>
          <w:b/>
          <w:szCs w:val="24"/>
        </w:rPr>
        <w:t>Função-Objetivo</w:t>
      </w:r>
      <w:proofErr w:type="spellEnd"/>
      <w:r w:rsidRPr="0041622C">
        <w:rPr>
          <w:rFonts w:ascii="Arial" w:hAnsi="Arial" w:cs="Arial"/>
          <w:b/>
          <w:szCs w:val="24"/>
        </w:rPr>
        <w:t xml:space="preserve"> Corporativa</w:t>
      </w:r>
      <w:r w:rsidRPr="0041622C">
        <w:rPr>
          <w:rFonts w:ascii="Arial" w:hAnsi="Arial" w:cs="Arial"/>
          <w:szCs w:val="24"/>
        </w:rPr>
        <w:t>” (</w:t>
      </w:r>
      <w:proofErr w:type="spellStart"/>
      <w:r w:rsidRPr="0041622C">
        <w:rPr>
          <w:rFonts w:ascii="Arial" w:hAnsi="Arial" w:cs="Arial"/>
          <w:szCs w:val="24"/>
        </w:rPr>
        <w:t>Yoshinaga</w:t>
      </w:r>
      <w:proofErr w:type="spellEnd"/>
      <w:r w:rsidRPr="0041622C">
        <w:rPr>
          <w:rFonts w:ascii="Arial" w:hAnsi="Arial" w:cs="Arial"/>
          <w:szCs w:val="24"/>
        </w:rPr>
        <w:t xml:space="preserve">, Borba e Silveira - Caderno de Pesquisas em Administração, </w:t>
      </w:r>
      <w:proofErr w:type="spellStart"/>
      <w:r w:rsidRPr="0041622C">
        <w:rPr>
          <w:rFonts w:ascii="Arial" w:hAnsi="Arial" w:cs="Arial"/>
          <w:szCs w:val="24"/>
        </w:rPr>
        <w:t>São</w:t>
      </w:r>
      <w:proofErr w:type="spellEnd"/>
      <w:r w:rsidRPr="0041622C">
        <w:rPr>
          <w:rFonts w:ascii="Arial" w:hAnsi="Arial" w:cs="Arial"/>
          <w:szCs w:val="24"/>
        </w:rPr>
        <w:t xml:space="preserve"> Paulo, v. 12, n. 1, p. 33-42, janeiro/março 2005) e elabore um artigo opinativo sobre a teoria da maximização da riqueza dos acionistas e a teoria de equilíbrio dos interesses dos públicos afetados pela companhia (stakeholders). </w:t>
      </w:r>
    </w:p>
    <w:p w:rsidR="0041622C" w:rsidRPr="0041622C" w:rsidRDefault="0041622C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  <w:r w:rsidRPr="0041622C">
        <w:rPr>
          <w:rFonts w:ascii="Arial" w:hAnsi="Arial" w:cs="Arial"/>
          <w:szCs w:val="24"/>
        </w:rPr>
        <w:t>O texto deve ter entre 500 e 1.000 palavras, excluídas as referências bibliográficas.</w:t>
      </w:r>
    </w:p>
    <w:p w:rsidR="0041437C" w:rsidRPr="0041622C" w:rsidRDefault="0041437C" w:rsidP="0041437C">
      <w:pPr>
        <w:spacing w:after="120"/>
        <w:ind w:right="-568"/>
        <w:jc w:val="both"/>
        <w:rPr>
          <w:rFonts w:ascii="Arial" w:hAnsi="Arial" w:cs="Arial"/>
          <w:sz w:val="22"/>
          <w:szCs w:val="22"/>
        </w:rPr>
      </w:pPr>
    </w:p>
    <w:p w:rsidR="00FC33CB" w:rsidRPr="00C50042" w:rsidRDefault="00FC33CB" w:rsidP="00FC33CB">
      <w:pPr>
        <w:spacing w:after="240" w:line="360" w:lineRule="auto"/>
        <w:ind w:right="-568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Apresentar a resolução da questão</w:t>
      </w:r>
    </w:p>
    <w:sectPr w:rsidR="00FC33CB" w:rsidRPr="00C50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B48A6"/>
    <w:multiLevelType w:val="hybridMultilevel"/>
    <w:tmpl w:val="7F52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3CB"/>
    <w:rsid w:val="003473EF"/>
    <w:rsid w:val="0041437C"/>
    <w:rsid w:val="0041622C"/>
    <w:rsid w:val="00B3779B"/>
    <w:rsid w:val="00EB5FF0"/>
    <w:rsid w:val="00FC33CB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B110"/>
  <w15:docId w15:val="{0DCADCA4-EF3D-4075-8E50-52B2DFCE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3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3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4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</dc:creator>
  <cp:lastModifiedBy>Leonardo Jorge Pereira</cp:lastModifiedBy>
  <cp:revision>2</cp:revision>
  <dcterms:created xsi:type="dcterms:W3CDTF">2018-12-28T12:00:00Z</dcterms:created>
  <dcterms:modified xsi:type="dcterms:W3CDTF">2018-12-28T12:00:00Z</dcterms:modified>
</cp:coreProperties>
</file>