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Indicadores: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Stock – to – Flow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https://www.lookintobitcoin.com/charts/stock-to-flow-model/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Arco íris Bitcoin: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https://www.lookintobitcoin.com/charts/bitcoin-rainbow-chart/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MVRV: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https://www.lookintobitcoin.com/charts/mvrv-zscore/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NUPL: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https://www.lookintobitcoin.com/charts/relative-unrealized-profit–loss/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Moedas destruídas (VDD):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https://www.lookintobitcoin.com/charts/value-days-destroyed-multiple/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Puell Mutiple ( Mineradores ):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https://www.lookintobitcoin.com/charts/puell-multiple/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TheBlock: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https://www.theblock.co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Coindance(Bitcoin no mundo):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https://coin.dance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Glassnode: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https://glassnode.com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CryptoQuant: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https://cryptoquant.com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Maior valor movimentado ( ”Preço piso”):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https://chainexposed.com/AgeBandCostBasisDistribution.html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MacroMicro: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https://en.macromicro.me/crypto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