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pacing w:after="0" w:before="0" w:lineRule="auto"/>
        <w:rPr>
          <w:rFonts w:ascii="Roboto" w:cs="Roboto" w:eastAsia="Roboto" w:hAnsi="Roboto"/>
          <w:b w:val="1"/>
          <w:color w:val="000000"/>
          <w:sz w:val="40"/>
          <w:szCs w:val="40"/>
        </w:rPr>
      </w:pPr>
      <w:bookmarkStart w:colFirst="0" w:colLast="0" w:name="_39kt2z8qd7kh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40"/>
          <w:szCs w:val="40"/>
          <w:rtl w:val="0"/>
        </w:rPr>
        <w:t xml:space="preserve">Bônus 02 - 20 Estruturas de Cursos Prontos (Link na Descrição)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pacing w:after="340" w:before="340" w:lineRule="auto"/>
        <w:rPr>
          <w:rFonts w:ascii="Roboto" w:cs="Roboto" w:eastAsia="Roboto" w:hAnsi="Roboto"/>
          <w:b w:val="1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Acesse pelo link:</w:t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pacing w:after="340" w:before="340" w:lineRule="auto"/>
        <w:rPr>
          <w:rFonts w:ascii="Roboto" w:cs="Roboto" w:eastAsia="Roboto" w:hAnsi="Roboto"/>
          <w:b w:val="1"/>
          <w:color w:val="1155cc"/>
          <w:sz w:val="48"/>
          <w:szCs w:val="48"/>
          <w:u w:val="single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0000ee"/>
            <w:sz w:val="48"/>
            <w:szCs w:val="48"/>
            <w:u w:val="single"/>
            <w:rtl w:val="0"/>
          </w:rPr>
          <w:t xml:space="preserve">20 PRODUTOS ESTRUTURADOS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sdGUGeZ89yT2Wc70-1TrcgMkx6x7kLOY?usp=shar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