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Helvetica Neue" w:cs="Helvetica Neue" w:eastAsia="Helvetica Neue" w:hAnsi="Helvetica Neue"/>
          <w:b w:val="1"/>
          <w:color w:val="434343"/>
          <w:sz w:val="36"/>
          <w:szCs w:val="36"/>
        </w:rPr>
      </w:pP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b w:val="1"/>
          <w:color w:val="434343"/>
          <w:sz w:val="36"/>
          <w:szCs w:val="36"/>
        </w:rPr>
      </w:pPr>
      <w:r w:rsidDel="00000000" w:rsidR="00000000" w:rsidRPr="00000000">
        <w:rPr>
          <w:rFonts w:ascii="Helvetica Neue" w:cs="Helvetica Neue" w:eastAsia="Helvetica Neue" w:hAnsi="Helvetica Neue"/>
          <w:b w:val="1"/>
          <w:color w:val="434343"/>
          <w:sz w:val="36"/>
          <w:szCs w:val="36"/>
          <w:rtl w:val="0"/>
        </w:rPr>
        <w:t xml:space="preserve">Exercício de conclusão do Módulo 16</w:t>
      </w:r>
    </w:p>
    <w:p w:rsidR="00000000" w:rsidDel="00000000" w:rsidP="00000000" w:rsidRDefault="00000000" w:rsidRPr="00000000" w14:paraId="00000003">
      <w:pPr>
        <w:widowControl w:val="0"/>
        <w:spacing w:line="240" w:lineRule="auto"/>
        <w:jc w:val="center"/>
        <w:rPr>
          <w:rFonts w:ascii="Space Grotesk" w:cs="Space Grotesk" w:eastAsia="Space Grotesk" w:hAnsi="Space Grotesk"/>
          <w:sz w:val="24"/>
          <w:szCs w:val="24"/>
          <w:highlight w:val="white"/>
        </w:rPr>
      </w:pPr>
      <w:r w:rsidDel="00000000" w:rsidR="00000000" w:rsidRPr="00000000">
        <w:rPr>
          <w:rFonts w:ascii="Space Grotesk" w:cs="Space Grotesk" w:eastAsia="Space Grotesk" w:hAnsi="Space Grotesk"/>
          <w:sz w:val="24"/>
          <w:szCs w:val="24"/>
          <w:rtl w:val="0"/>
        </w:rPr>
        <w:t xml:space="preserve">Criar/adicionar ao seu gerenciador</w:t>
      </w:r>
      <w:r w:rsidDel="00000000" w:rsidR="00000000" w:rsidRPr="00000000">
        <w:rPr>
          <w:rtl w:val="0"/>
        </w:rPr>
      </w:r>
    </w:p>
    <w:p w:rsidR="00000000" w:rsidDel="00000000" w:rsidP="00000000" w:rsidRDefault="00000000" w:rsidRPr="00000000" w14:paraId="00000004">
      <w:pPr>
        <w:widowControl w:val="0"/>
        <w:spacing w:line="240" w:lineRule="auto"/>
        <w:jc w:val="center"/>
        <w:rPr>
          <w:rFonts w:ascii="Space Grotesk" w:cs="Space Grotesk" w:eastAsia="Space Grotesk" w:hAnsi="Space Grotesk"/>
          <w:sz w:val="24"/>
          <w:szCs w:val="24"/>
        </w:rPr>
      </w:pPr>
      <w:r w:rsidDel="00000000" w:rsidR="00000000" w:rsidRPr="00000000">
        <w:rPr>
          <w:rFonts w:ascii="Space Grotesk" w:cs="Space Grotesk" w:eastAsia="Space Grotesk" w:hAnsi="Space Grotesk"/>
          <w:sz w:val="24"/>
          <w:szCs w:val="24"/>
          <w:rtl w:val="0"/>
        </w:rPr>
        <w:t xml:space="preserve"> uma conta de anúncios no Facebook Ads</w:t>
      </w:r>
    </w:p>
    <w:p w:rsidR="00000000" w:rsidDel="00000000" w:rsidP="00000000" w:rsidRDefault="00000000" w:rsidRPr="00000000" w14:paraId="00000005">
      <w:pPr>
        <w:widowControl w:val="0"/>
        <w:spacing w:line="240" w:lineRule="auto"/>
        <w:jc w:val="center"/>
        <w:rPr>
          <w:rFonts w:ascii="Space Grotesk" w:cs="Space Grotesk" w:eastAsia="Space Grotesk" w:hAnsi="Space Grotesk"/>
          <w:sz w:val="24"/>
          <w:szCs w:val="24"/>
        </w:rPr>
      </w:pPr>
      <w:r w:rsidDel="00000000" w:rsidR="00000000" w:rsidRPr="00000000">
        <w:rPr>
          <w:rtl w:val="0"/>
        </w:rPr>
      </w:r>
    </w:p>
    <w:p w:rsidR="00000000" w:rsidDel="00000000" w:rsidP="00000000" w:rsidRDefault="00000000" w:rsidRPr="00000000" w14:paraId="00000006">
      <w:pPr>
        <w:widowControl w:val="0"/>
        <w:spacing w:line="240" w:lineRule="auto"/>
        <w:ind w:left="425.19685039370086" w:firstLine="0"/>
        <w:jc w:val="center"/>
        <w:rPr>
          <w:rFonts w:ascii="Helvetica Neue" w:cs="Helvetica Neue" w:eastAsia="Helvetica Neue" w:hAnsi="Helvetica Neue"/>
          <w:b w:val="1"/>
          <w:color w:val="f0489f"/>
          <w:sz w:val="24"/>
          <w:szCs w:val="24"/>
        </w:rPr>
      </w:pPr>
      <w:r w:rsidDel="00000000" w:rsidR="00000000" w:rsidRPr="00000000">
        <w:rPr>
          <w:rFonts w:ascii="Helvetica Neue" w:cs="Helvetica Neue" w:eastAsia="Helvetica Neue" w:hAnsi="Helvetica Neue"/>
          <w:b w:val="1"/>
          <w:color w:val="f0489f"/>
          <w:sz w:val="24"/>
          <w:szCs w:val="24"/>
          <w:rtl w:val="0"/>
        </w:rPr>
        <w:t xml:space="preserve">Siga os próximos passos, retirados do </w:t>
      </w:r>
      <w:hyperlink r:id="rId6">
        <w:r w:rsidDel="00000000" w:rsidR="00000000" w:rsidRPr="00000000">
          <w:rPr>
            <w:rFonts w:ascii="Helvetica Neue" w:cs="Helvetica Neue" w:eastAsia="Helvetica Neue" w:hAnsi="Helvetica Neue"/>
            <w:b w:val="1"/>
            <w:color w:val="1155cc"/>
            <w:sz w:val="24"/>
            <w:szCs w:val="24"/>
            <w:u w:val="single"/>
            <w:rtl w:val="0"/>
          </w:rPr>
          <w:t xml:space="preserve">site oficial</w:t>
        </w:r>
      </w:hyperlink>
      <w:r w:rsidDel="00000000" w:rsidR="00000000" w:rsidRPr="00000000">
        <w:rPr>
          <w:rFonts w:ascii="Helvetica Neue" w:cs="Helvetica Neue" w:eastAsia="Helvetica Neue" w:hAnsi="Helvetica Neue"/>
          <w:b w:val="1"/>
          <w:color w:val="f0489f"/>
          <w:sz w:val="24"/>
          <w:szCs w:val="24"/>
          <w:rtl w:val="0"/>
        </w:rPr>
        <w:t xml:space="preserve"> do Facebook.</w:t>
      </w:r>
    </w:p>
    <w:p w:rsidR="00000000" w:rsidDel="00000000" w:rsidP="00000000" w:rsidRDefault="00000000" w:rsidRPr="00000000" w14:paraId="00000007">
      <w:pPr>
        <w:jc w:val="center"/>
        <w:rPr>
          <w:rFonts w:ascii="Helvetica Neue" w:cs="Helvetica Neue" w:eastAsia="Helvetica Neue" w:hAnsi="Helvetica Neue"/>
          <w:b w:val="1"/>
          <w:sz w:val="20"/>
          <w:szCs w:val="20"/>
          <w:highlight w:val="yellow"/>
        </w:rPr>
      </w:pPr>
      <w:r w:rsidDel="00000000" w:rsidR="00000000" w:rsidRPr="00000000">
        <w:rPr>
          <w:rtl w:val="0"/>
        </w:rPr>
      </w:r>
    </w:p>
    <w:p w:rsidR="00000000" w:rsidDel="00000000" w:rsidP="00000000" w:rsidRDefault="00000000" w:rsidRPr="00000000" w14:paraId="00000008">
      <w:pPr>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009">
      <w:pPr>
        <w:widowControl w:val="0"/>
        <w:spacing w:after="220" w:line="240" w:lineRule="auto"/>
        <w:rPr>
          <w:rFonts w:ascii="Nothing You Could Do" w:cs="Nothing You Could Do" w:eastAsia="Nothing You Could Do" w:hAnsi="Nothing You Could Do"/>
          <w:b w:val="1"/>
          <w:color w:val="f0489f"/>
          <w:sz w:val="30"/>
          <w:szCs w:val="30"/>
        </w:rPr>
      </w:pPr>
      <w:r w:rsidDel="00000000" w:rsidR="00000000" w:rsidRPr="00000000">
        <w:rPr>
          <w:rFonts w:ascii="Nothing You Could Do" w:cs="Nothing You Could Do" w:eastAsia="Nothing You Could Do" w:hAnsi="Nothing You Could Do"/>
          <w:b w:val="1"/>
          <w:color w:val="f0489f"/>
          <w:sz w:val="30"/>
          <w:szCs w:val="30"/>
          <w:rtl w:val="0"/>
        </w:rPr>
        <w:t xml:space="preserve">Existem três formas de adicionar contas de anúncios ao seu Gerenciador de Negócios:</w:t>
      </w:r>
    </w:p>
    <w:p w:rsidR="00000000" w:rsidDel="00000000" w:rsidP="00000000" w:rsidRDefault="00000000" w:rsidRPr="00000000" w14:paraId="0000000A">
      <w:pPr>
        <w:widowControl w:val="0"/>
        <w:numPr>
          <w:ilvl w:val="0"/>
          <w:numId w:val="3"/>
        </w:numPr>
        <w:spacing w:after="0" w:afterAutospacing="0" w:before="560" w:lineRule="auto"/>
        <w:ind w:left="850.3937007874017" w:right="520" w:hanging="283.4645669291342"/>
        <w:rPr>
          <w:rFonts w:ascii="Montserrat Medium" w:cs="Montserrat Medium" w:eastAsia="Montserrat Medium" w:hAnsi="Montserrat Medium"/>
          <w:color w:val="000000"/>
          <w:sz w:val="20"/>
          <w:szCs w:val="20"/>
          <w:shd w:fill="auto" w:val="clear"/>
        </w:rPr>
      </w:pPr>
      <w:r w:rsidDel="00000000" w:rsidR="00000000" w:rsidRPr="00000000">
        <w:rPr>
          <w:rFonts w:ascii="Helvetica Neue" w:cs="Helvetica Neue" w:eastAsia="Helvetica Neue" w:hAnsi="Helvetica Neue"/>
          <w:b w:val="1"/>
          <w:sz w:val="20"/>
          <w:szCs w:val="20"/>
          <w:rtl w:val="0"/>
        </w:rPr>
        <w:t xml:space="preserve">Adicionar uma conta de anúncios:</w:t>
      </w:r>
      <w:r w:rsidDel="00000000" w:rsidR="00000000" w:rsidRPr="00000000">
        <w:rPr>
          <w:rFonts w:ascii="Helvetica Neue" w:cs="Helvetica Neue" w:eastAsia="Helvetica Neue" w:hAnsi="Helvetica Neue"/>
          <w:sz w:val="20"/>
          <w:szCs w:val="20"/>
          <w:rtl w:val="0"/>
        </w:rPr>
        <w:t xml:space="preserve"> uma conta de anúncios adicionada é transferida permanentemente para o Gerenciador de Negócios. Você deve ser o proprietário da conta de anúncios e um administrador no Gerenciador de Negócios para adicioná-la. Depois de adicionar uma conta de anúncios e ela ser transferida para o Gerenciador de Negócios, essa ação não poderá ser desfeita. Todo o gerenciamento da conta de anúncios deve ser realizado dentro do seu perfil do Gerenciador de Negócios. Não é possível adicionar uma conta de anúncios que pertença a outro Gerenciador de Negócios. Se você ainda quiser trabalhar em uma conta de anúncios que pertence a uma empresa diferente, poderá solicitar acesso a ela.</w:t>
      </w:r>
    </w:p>
    <w:p w:rsidR="00000000" w:rsidDel="00000000" w:rsidP="00000000" w:rsidRDefault="00000000" w:rsidRPr="00000000" w14:paraId="0000000B">
      <w:pPr>
        <w:widowControl w:val="0"/>
        <w:numPr>
          <w:ilvl w:val="0"/>
          <w:numId w:val="3"/>
        </w:numPr>
        <w:spacing w:after="0" w:afterAutospacing="0" w:before="0" w:beforeAutospacing="0" w:lineRule="auto"/>
        <w:ind w:left="850.3937007874017" w:right="520" w:hanging="283.4645669291342"/>
        <w:rPr>
          <w:rFonts w:ascii="Montserrat Medium" w:cs="Montserrat Medium" w:eastAsia="Montserrat Medium" w:hAnsi="Montserrat Medium"/>
          <w:color w:val="000000"/>
          <w:sz w:val="20"/>
          <w:szCs w:val="20"/>
          <w:shd w:fill="auto" w:val="clear"/>
        </w:rPr>
      </w:pPr>
      <w:r w:rsidDel="00000000" w:rsidR="00000000" w:rsidRPr="00000000">
        <w:rPr>
          <w:rFonts w:ascii="Helvetica Neue" w:cs="Helvetica Neue" w:eastAsia="Helvetica Neue" w:hAnsi="Helvetica Neue"/>
          <w:b w:val="1"/>
          <w:sz w:val="20"/>
          <w:szCs w:val="20"/>
          <w:rtl w:val="0"/>
        </w:rPr>
        <w:t xml:space="preserve">Solicitar acesso a uma conta de anúncios</w:t>
      </w:r>
      <w:r w:rsidDel="00000000" w:rsidR="00000000" w:rsidRPr="00000000">
        <w:rPr>
          <w:rFonts w:ascii="Helvetica Neue" w:cs="Helvetica Neue" w:eastAsia="Helvetica Neue" w:hAnsi="Helvetica Neue"/>
          <w:sz w:val="20"/>
          <w:szCs w:val="20"/>
          <w:rtl w:val="0"/>
        </w:rPr>
        <w:t xml:space="preserve">: se você solicitar acesso a uma conta de anúncios no Gerenciador de Negócios, o administrador deste Gerenciador de Negócios poderá lhe conceder permissão para trabalhar nela.</w:t>
      </w:r>
    </w:p>
    <w:p w:rsidR="00000000" w:rsidDel="00000000" w:rsidP="00000000" w:rsidRDefault="00000000" w:rsidRPr="00000000" w14:paraId="0000000C">
      <w:pPr>
        <w:widowControl w:val="0"/>
        <w:numPr>
          <w:ilvl w:val="0"/>
          <w:numId w:val="3"/>
        </w:numPr>
        <w:spacing w:after="560" w:before="0" w:beforeAutospacing="0" w:lineRule="auto"/>
        <w:ind w:left="850.3937007874017" w:right="520" w:hanging="283.4645669291342"/>
        <w:rPr>
          <w:rFonts w:ascii="Montserrat Medium" w:cs="Montserrat Medium" w:eastAsia="Montserrat Medium" w:hAnsi="Montserrat Medium"/>
          <w:color w:val="000000"/>
          <w:sz w:val="20"/>
          <w:szCs w:val="20"/>
          <w:shd w:fill="auto" w:val="clear"/>
        </w:rPr>
      </w:pPr>
      <w:r w:rsidDel="00000000" w:rsidR="00000000" w:rsidRPr="00000000">
        <w:rPr>
          <w:rFonts w:ascii="Helvetica Neue" w:cs="Helvetica Neue" w:eastAsia="Helvetica Neue" w:hAnsi="Helvetica Neue"/>
          <w:b w:val="1"/>
          <w:sz w:val="20"/>
          <w:szCs w:val="20"/>
          <w:rtl w:val="0"/>
        </w:rPr>
        <w:t xml:space="preserve">Criar uma nova conta de anúncios:</w:t>
      </w:r>
      <w:r w:rsidDel="00000000" w:rsidR="00000000" w:rsidRPr="00000000">
        <w:rPr>
          <w:rFonts w:ascii="Helvetica Neue" w:cs="Helvetica Neue" w:eastAsia="Helvetica Neue" w:hAnsi="Helvetica Neue"/>
          <w:sz w:val="20"/>
          <w:szCs w:val="20"/>
          <w:rtl w:val="0"/>
        </w:rPr>
        <w:t xml:space="preserve"> se você </w:t>
      </w:r>
      <w:hyperlink r:id="rId7">
        <w:r w:rsidDel="00000000" w:rsidR="00000000" w:rsidRPr="00000000">
          <w:rPr>
            <w:rFonts w:ascii="Helvetica Neue" w:cs="Helvetica Neue" w:eastAsia="Helvetica Neue" w:hAnsi="Helvetica Neue"/>
            <w:color w:val="1155cc"/>
            <w:sz w:val="20"/>
            <w:szCs w:val="20"/>
            <w:u w:val="single"/>
            <w:rtl w:val="0"/>
          </w:rPr>
          <w:t xml:space="preserve">criar uma nova conta</w:t>
        </w:r>
      </w:hyperlink>
      <w:r w:rsidDel="00000000" w:rsidR="00000000" w:rsidRPr="00000000">
        <w:rPr>
          <w:rFonts w:ascii="Helvetica Neue" w:cs="Helvetica Neue" w:eastAsia="Helvetica Neue" w:hAnsi="Helvetica Neue"/>
          <w:sz w:val="20"/>
          <w:szCs w:val="20"/>
          <w:rtl w:val="0"/>
        </w:rPr>
        <w:t xml:space="preserve"> de anúncios no Gerenciador de Negócios, ela pertencerá permanentemente a esse Gerenciador de Negócios. Depois de criada no Gerenciador de Negócios, a conta de anúncios não poderá ser transferida para um proprietário individual que não tenha um Gerenciador de Negócios. Você vai precisar ter uma </w:t>
      </w:r>
      <w:hyperlink r:id="rId8">
        <w:r w:rsidDel="00000000" w:rsidR="00000000" w:rsidRPr="00000000">
          <w:rPr>
            <w:rFonts w:ascii="Helvetica Neue" w:cs="Helvetica Neue" w:eastAsia="Helvetica Neue" w:hAnsi="Helvetica Neue"/>
            <w:color w:val="1155cc"/>
            <w:sz w:val="20"/>
            <w:szCs w:val="20"/>
            <w:u w:val="single"/>
            <w:rtl w:val="0"/>
          </w:rPr>
          <w:t xml:space="preserve">página </w:t>
        </w:r>
      </w:hyperlink>
      <w:r w:rsidDel="00000000" w:rsidR="00000000" w:rsidRPr="00000000">
        <w:rPr>
          <w:rFonts w:ascii="Helvetica Neue" w:cs="Helvetica Neue" w:eastAsia="Helvetica Neue" w:hAnsi="Helvetica Neue"/>
          <w:sz w:val="20"/>
          <w:szCs w:val="20"/>
          <w:rtl w:val="0"/>
        </w:rPr>
        <w:t xml:space="preserve">para esse processo.</w:t>
      </w:r>
    </w:p>
    <w:p w:rsidR="00000000" w:rsidDel="00000000" w:rsidP="00000000" w:rsidRDefault="00000000" w:rsidRPr="00000000" w14:paraId="0000000D">
      <w:pPr>
        <w:widowControl w:val="0"/>
        <w:spacing w:after="220" w:line="240" w:lineRule="auto"/>
        <w:rPr>
          <w:rFonts w:ascii="Nothing You Could Do" w:cs="Nothing You Could Do" w:eastAsia="Nothing You Could Do" w:hAnsi="Nothing You Could Do"/>
          <w:b w:val="1"/>
          <w:color w:val="f0489f"/>
          <w:sz w:val="30"/>
          <w:szCs w:val="30"/>
        </w:rPr>
      </w:pPr>
      <w:r w:rsidDel="00000000" w:rsidR="00000000" w:rsidRPr="00000000">
        <w:rPr>
          <w:rFonts w:ascii="Nothing You Could Do" w:cs="Nothing You Could Do" w:eastAsia="Nothing You Could Do" w:hAnsi="Nothing You Could Do"/>
          <w:b w:val="1"/>
          <w:color w:val="f0489f"/>
          <w:sz w:val="30"/>
          <w:szCs w:val="30"/>
          <w:rtl w:val="0"/>
        </w:rPr>
        <w:t xml:space="preserve">Etapas para adicionar uma conta de anúncios ao Gerenciador de Negócios:</w:t>
      </w:r>
    </w:p>
    <w:p w:rsidR="00000000" w:rsidDel="00000000" w:rsidP="00000000" w:rsidRDefault="00000000" w:rsidRPr="00000000" w14:paraId="0000000E">
      <w:pPr>
        <w:widowControl w:val="0"/>
        <w:numPr>
          <w:ilvl w:val="0"/>
          <w:numId w:val="2"/>
        </w:numPr>
        <w:spacing w:after="0" w:afterAutospacing="0" w:before="56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Acesse as </w:t>
      </w:r>
      <w:hyperlink r:id="rId9">
        <w:r w:rsidDel="00000000" w:rsidR="00000000" w:rsidRPr="00000000">
          <w:rPr>
            <w:rFonts w:ascii="Helvetica Neue" w:cs="Helvetica Neue" w:eastAsia="Helvetica Neue" w:hAnsi="Helvetica Neue"/>
            <w:color w:val="0563c1"/>
            <w:sz w:val="20"/>
            <w:szCs w:val="20"/>
            <w:u w:val="single"/>
            <w:rtl w:val="0"/>
          </w:rPr>
          <w:t xml:space="preserve">Configurações do negócio</w:t>
        </w:r>
      </w:hyperlink>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0F">
      <w:pPr>
        <w:widowControl w:val="0"/>
        <w:numPr>
          <w:ilvl w:val="0"/>
          <w:numId w:val="2"/>
        </w:numPr>
        <w:spacing w:after="0" w:afterAutospacing="0" w:before="0" w:beforeAutospacing="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Clique em "Contas no menu do lado esquerdo". Em seguida, clique em "Contas de anúncios".</w:t>
      </w:r>
    </w:p>
    <w:p w:rsidR="00000000" w:rsidDel="00000000" w:rsidP="00000000" w:rsidRDefault="00000000" w:rsidRPr="00000000" w14:paraId="00000010">
      <w:pPr>
        <w:widowControl w:val="0"/>
        <w:numPr>
          <w:ilvl w:val="0"/>
          <w:numId w:val="2"/>
        </w:numPr>
        <w:spacing w:after="0" w:afterAutospacing="0" w:before="0" w:beforeAutospacing="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Clique no botão azul do menu suspenso Adicionar.</w:t>
      </w:r>
    </w:p>
    <w:p w:rsidR="00000000" w:rsidDel="00000000" w:rsidP="00000000" w:rsidRDefault="00000000" w:rsidRPr="00000000" w14:paraId="00000011">
      <w:pPr>
        <w:widowControl w:val="0"/>
        <w:numPr>
          <w:ilvl w:val="0"/>
          <w:numId w:val="2"/>
        </w:numPr>
        <w:spacing w:after="0" w:afterAutospacing="0" w:before="0" w:beforeAutospacing="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Escolha uma das três opções: Adicionar uma conta de anúncios, Solicitar acesso a uma conta de anúncios ou Criar uma nova conta de anúncios.</w:t>
      </w:r>
    </w:p>
    <w:p w:rsidR="00000000" w:rsidDel="00000000" w:rsidP="00000000" w:rsidRDefault="00000000" w:rsidRPr="00000000" w14:paraId="00000012">
      <w:pPr>
        <w:widowControl w:val="0"/>
        <w:numPr>
          <w:ilvl w:val="0"/>
          <w:numId w:val="2"/>
        </w:numPr>
        <w:spacing w:after="0" w:afterAutospacing="0" w:before="0" w:beforeAutospacing="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Se você optar por solicitar o acesso ou adicionar uma conta de anúncios, informe o número de identificação da conta de anúncios. Saiba onde </w:t>
      </w:r>
      <w:hyperlink r:id="rId10">
        <w:r w:rsidDel="00000000" w:rsidR="00000000" w:rsidRPr="00000000">
          <w:rPr>
            <w:rFonts w:ascii="Helvetica Neue" w:cs="Helvetica Neue" w:eastAsia="Helvetica Neue" w:hAnsi="Helvetica Neue"/>
            <w:color w:val="0563c1"/>
            <w:sz w:val="20"/>
            <w:szCs w:val="20"/>
            <w:u w:val="single"/>
            <w:rtl w:val="0"/>
          </w:rPr>
          <w:t xml:space="preserve">encontrar o número de identificação da conta</w:t>
        </w:r>
      </w:hyperlink>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13">
      <w:pPr>
        <w:widowControl w:val="0"/>
        <w:numPr>
          <w:ilvl w:val="0"/>
          <w:numId w:val="2"/>
        </w:numPr>
        <w:spacing w:after="560" w:before="0" w:beforeAutospacing="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Siga as instruções para selecionar as pessoas e os níveis de acesso.</w:t>
      </w:r>
    </w:p>
    <w:p w:rsidR="00000000" w:rsidDel="00000000" w:rsidP="00000000" w:rsidRDefault="00000000" w:rsidRPr="00000000" w14:paraId="00000014">
      <w:pPr>
        <w:rPr>
          <w:rFonts w:ascii="Nothing You Could Do" w:cs="Nothing You Could Do" w:eastAsia="Nothing You Could Do" w:hAnsi="Nothing You Could Do"/>
          <w:b w:val="1"/>
          <w:color w:val="f0489f"/>
          <w:sz w:val="30"/>
          <w:szCs w:val="30"/>
        </w:rPr>
      </w:pPr>
      <w:r w:rsidDel="00000000" w:rsidR="00000000" w:rsidRPr="00000000">
        <w:rPr>
          <w:rFonts w:ascii="Nothing You Could Do" w:cs="Nothing You Could Do" w:eastAsia="Nothing You Could Do" w:hAnsi="Nothing You Could Do"/>
          <w:b w:val="1"/>
          <w:color w:val="f0489f"/>
          <w:sz w:val="30"/>
          <w:szCs w:val="30"/>
          <w:rtl w:val="0"/>
        </w:rPr>
        <w:t xml:space="preserve">Não será possível adicionar uma conta de anúncios se:</w:t>
      </w:r>
    </w:p>
    <w:p w:rsidR="00000000" w:rsidDel="00000000" w:rsidP="00000000" w:rsidRDefault="00000000" w:rsidRPr="00000000" w14:paraId="00000015">
      <w:pPr>
        <w:widowControl w:val="0"/>
        <w:numPr>
          <w:ilvl w:val="0"/>
          <w:numId w:val="1"/>
        </w:numPr>
        <w:spacing w:after="0" w:afterAutospacing="0" w:before="56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A conta de anúncios que você está tentando adicionar já foi adicionada por outra empresa. Uma conta de anúncios só pode pertencer a um Gerenciador de Negócios. Em vez disso, solicite acesso à conta de anúncios.</w:t>
      </w:r>
    </w:p>
    <w:p w:rsidR="00000000" w:rsidDel="00000000" w:rsidP="00000000" w:rsidRDefault="00000000" w:rsidRPr="00000000" w14:paraId="00000016">
      <w:pPr>
        <w:widowControl w:val="0"/>
        <w:numPr>
          <w:ilvl w:val="0"/>
          <w:numId w:val="1"/>
        </w:numPr>
        <w:spacing w:after="0" w:afterAutospacing="0" w:before="0" w:beforeAutospacing="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Você já tiver adicionado uma conta de anúncios pessoal ao Gerenciador de Negócios. É possível adicionar somente uma conta de anúncios de sua conta pessoal do Facebook ao Gerenciador de Negócios. Em vez disso, crie uma nova conta de anúncios no Gerenciador de Negócios ou solicite acesso a outra conta de anúncios.</w:t>
      </w:r>
    </w:p>
    <w:p w:rsidR="00000000" w:rsidDel="00000000" w:rsidP="00000000" w:rsidRDefault="00000000" w:rsidRPr="00000000" w14:paraId="00000017">
      <w:pPr>
        <w:widowControl w:val="0"/>
        <w:numPr>
          <w:ilvl w:val="0"/>
          <w:numId w:val="1"/>
        </w:numPr>
        <w:spacing w:after="0" w:afterAutospacing="0" w:before="0" w:beforeAutospacing="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Você tiver atingido o limite de contas de anúncios para adicionar novas contas ao seu negócio. No momento, não há nenhuma opção disponível para solicitar mais contas de anúncios. Seu limite de contas de anúncios aumenta com base no gasto com publicidade. Saiba como </w:t>
      </w:r>
      <w:hyperlink r:id="rId11">
        <w:r w:rsidDel="00000000" w:rsidR="00000000" w:rsidRPr="00000000">
          <w:rPr>
            <w:rFonts w:ascii="Helvetica Neue" w:cs="Helvetica Neue" w:eastAsia="Helvetica Neue" w:hAnsi="Helvetica Neue"/>
            <w:sz w:val="20"/>
            <w:szCs w:val="20"/>
            <w:rtl w:val="0"/>
          </w:rPr>
          <w:t xml:space="preserve">visualizar o limite da sua conta de anúncios no Gerenciador de Negócios</w:t>
        </w:r>
      </w:hyperlink>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18">
      <w:pPr>
        <w:widowControl w:val="0"/>
        <w:numPr>
          <w:ilvl w:val="0"/>
          <w:numId w:val="1"/>
        </w:numPr>
        <w:spacing w:after="560" w:before="0" w:beforeAutospacing="0" w:lineRule="auto"/>
        <w:ind w:left="850.3937007874017" w:right="520" w:hanging="283.4645669291342"/>
        <w:rPr>
          <w:rFonts w:ascii="Helvetica Neue" w:cs="Helvetica Neue" w:eastAsia="Helvetica Neue" w:hAnsi="Helvetica Neue"/>
          <w:color w:val="000000"/>
          <w:sz w:val="20"/>
          <w:szCs w:val="20"/>
          <w:shd w:fill="auto" w:val="clear"/>
        </w:rPr>
      </w:pPr>
      <w:r w:rsidDel="00000000" w:rsidR="00000000" w:rsidRPr="00000000">
        <w:rPr>
          <w:rFonts w:ascii="Helvetica Neue" w:cs="Helvetica Neue" w:eastAsia="Helvetica Neue" w:hAnsi="Helvetica Neue"/>
          <w:sz w:val="20"/>
          <w:szCs w:val="20"/>
          <w:rtl w:val="0"/>
        </w:rPr>
        <w:t xml:space="preserve">A conta de anúncios for pré-paga. Contas de anúncios pré-pagas podem ser adicionadas ao Gerenciador de Negócios somente se forem de determinadas localizações.</w:t>
      </w:r>
    </w:p>
    <w:p w:rsidR="00000000" w:rsidDel="00000000" w:rsidP="00000000" w:rsidRDefault="00000000" w:rsidRPr="00000000" w14:paraId="00000019">
      <w:pPr>
        <w:widowControl w:val="0"/>
        <w:spacing w:after="220" w:line="375.65207999999996"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Observação: desativar uma conta de anúncios não exclui a conta de anúncios da sua empresa. Uma conta de anúncios desativada ainda é incluída no limite de conta de anúncios.</w:t>
      </w:r>
    </w:p>
    <w:p w:rsidR="00000000" w:rsidDel="00000000" w:rsidP="00000000" w:rsidRDefault="00000000" w:rsidRPr="00000000" w14:paraId="0000001A">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1C">
      <w:pPr>
        <w:jc w:val="center"/>
        <w:rPr>
          <w:rFonts w:ascii="Helvetica Neue" w:cs="Helvetica Neue" w:eastAsia="Helvetica Neue" w:hAnsi="Helvetica Neue"/>
          <w:b w:val="1"/>
          <w:sz w:val="30"/>
          <w:szCs w:val="30"/>
          <w:highlight w:val="white"/>
        </w:rPr>
      </w:pPr>
      <w:r w:rsidDel="00000000" w:rsidR="00000000" w:rsidRPr="00000000">
        <w:rPr>
          <w:rFonts w:ascii="Helvetica Neue" w:cs="Helvetica Neue" w:eastAsia="Helvetica Neue" w:hAnsi="Helvetica Neue"/>
          <w:b w:val="1"/>
          <w:sz w:val="30"/>
          <w:szCs w:val="30"/>
          <w:highlight w:val="white"/>
          <w:rtl w:val="0"/>
        </w:rPr>
        <w:t xml:space="preserve">DICA</w:t>
      </w:r>
    </w:p>
    <w:p w:rsidR="00000000" w:rsidDel="00000000" w:rsidP="00000000" w:rsidRDefault="00000000" w:rsidRPr="00000000" w14:paraId="0000001D">
      <w:pPr>
        <w:jc w:val="center"/>
        <w:rPr>
          <w:rFonts w:ascii="Helvetica Neue" w:cs="Helvetica Neue" w:eastAsia="Helvetica Neue" w:hAnsi="Helvetica Neue"/>
          <w:b w:val="1"/>
          <w:color w:val="f0489f"/>
          <w:sz w:val="30"/>
          <w:szCs w:val="30"/>
          <w:highlight w:val="white"/>
        </w:rPr>
      </w:pPr>
      <w:r w:rsidDel="00000000" w:rsidR="00000000" w:rsidRPr="00000000">
        <w:rPr>
          <w:rFonts w:ascii="Helvetica Neue" w:cs="Helvetica Neue" w:eastAsia="Helvetica Neue" w:hAnsi="Helvetica Neue"/>
          <w:b w:val="1"/>
          <w:color w:val="f0489f"/>
          <w:sz w:val="28"/>
          <w:szCs w:val="28"/>
          <w:highlight w:val="white"/>
          <w:rtl w:val="0"/>
        </w:rPr>
        <w:t xml:space="preserve">Cuidado na hora de selecionar a moeda e forma de pagamento. Não será possível mudar posteriormente</w:t>
      </w:r>
      <w:r w:rsidDel="00000000" w:rsidR="00000000" w:rsidRPr="00000000">
        <w:rPr>
          <w:rFonts w:ascii="Helvetica Neue" w:cs="Helvetica Neue" w:eastAsia="Helvetica Neue" w:hAnsi="Helvetica Neue"/>
          <w:b w:val="1"/>
          <w:color w:val="f0489f"/>
          <w:sz w:val="30"/>
          <w:szCs w:val="30"/>
          <w:highlight w:val="white"/>
          <w:rtl w:val="0"/>
        </w:rPr>
        <w:t xml:space="preserve">!!</w:t>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hing You Could Do">
    <w:embedRegular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Space Grotesk">
    <w:embedRegular w:fontKey="{00000000-0000-0000-0000-000000000000}" r:id="rId10" w:subsetted="0"/>
    <w:embedBold w:fontKey="{00000000-0000-0000-0000-000000000000}" r:id="rId1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14288</wp:posOffset>
          </wp:positionH>
          <wp:positionV relativeFrom="page">
            <wp:posOffset>-42862</wp:posOffset>
          </wp:positionV>
          <wp:extent cx="7701501" cy="112395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01501" cy="11239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1d2129"/>
        <w:sz w:val="23"/>
        <w:szCs w:val="23"/>
        <w:highlight w:val="white"/>
        <w:u w:val="none"/>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right"/>
      <w:pPr>
        <w:ind w:left="720" w:hanging="360"/>
      </w:pPr>
      <w:rPr>
        <w:rFonts w:ascii="Arial" w:cs="Arial" w:eastAsia="Arial" w:hAnsi="Arial"/>
        <w:b w:val="0"/>
        <w:i w:val="0"/>
        <w:smallCaps w:val="0"/>
        <w:strike w:val="0"/>
        <w:color w:val="555555"/>
        <w:sz w:val="23"/>
        <w:szCs w:val="23"/>
        <w:highlight w:val="white"/>
        <w:u w:val="none"/>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right"/>
      <w:pPr>
        <w:ind w:left="720" w:hanging="360"/>
      </w:pPr>
      <w:rPr>
        <w:rFonts w:ascii="Arial" w:cs="Arial" w:eastAsia="Arial" w:hAnsi="Arial"/>
        <w:b w:val="0"/>
        <w:i w:val="0"/>
        <w:smallCaps w:val="0"/>
        <w:strike w:val="0"/>
        <w:color w:val="1d2129"/>
        <w:sz w:val="23"/>
        <w:szCs w:val="23"/>
        <w:highlight w:val="white"/>
        <w:u w:val="none"/>
        <w:vertAlign w:val="baseline"/>
      </w:rPr>
    </w:lvl>
    <w:lvl w:ilvl="1">
      <w:start w:val="1"/>
      <w:numFmt w:val="lowerLetter"/>
      <w:lvlText w:val="%2."/>
      <w:lvlJc w:val="righ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business/help/1253008271714847" TargetMode="External"/><Relationship Id="rId10" Type="http://schemas.openxmlformats.org/officeDocument/2006/relationships/hyperlink" Target="https://www.facebook.com/business/help/1492627900875762" TargetMode="External"/><Relationship Id="rId12" Type="http://schemas.openxmlformats.org/officeDocument/2006/relationships/header" Target="header1.xml"/><Relationship Id="rId9" Type="http://schemas.openxmlformats.org/officeDocument/2006/relationships/hyperlink" Target="https://business.facebook.com/select/?next=https%3A%2F%2Fbusiness.facebook.com%2Fsettings%2F&amp;ext=1622930880&amp;hash=Afn1jetVAZ88Yla5xSe6AXpMw8z7088_eyvlrvwNnErFyg" TargetMode="External"/><Relationship Id="rId5" Type="http://schemas.openxmlformats.org/officeDocument/2006/relationships/styles" Target="styles.xml"/><Relationship Id="rId6" Type="http://schemas.openxmlformats.org/officeDocument/2006/relationships/hyperlink" Target="https://www.google.com/url?q=https://www.facebook.com/business/help/910137316041095?id%3D420299598837059&amp;sa=D&amp;source=docs&amp;ust=1680731744914375&amp;usg=AOvVaw1UNqEyjE-UsXLxGLDP5CB-" TargetMode="External"/><Relationship Id="rId7" Type="http://schemas.openxmlformats.org/officeDocument/2006/relationships/hyperlink" Target="https://www.facebook.com/business/help/407323696966570?id=649869995454285" TargetMode="External"/><Relationship Id="rId8" Type="http://schemas.openxmlformats.org/officeDocument/2006/relationships/hyperlink" Target="https://www.facebook.com/business/help/473994396650734?id=93925679623624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Medium-regular.ttf"/><Relationship Id="rId2" Type="http://schemas.openxmlformats.org/officeDocument/2006/relationships/font" Target="fonts/MontserratMedium-bold.ttf"/><Relationship Id="rId3" Type="http://schemas.openxmlformats.org/officeDocument/2006/relationships/font" Target="fonts/MontserratMedium-italic.ttf"/><Relationship Id="rId4" Type="http://schemas.openxmlformats.org/officeDocument/2006/relationships/font" Target="fonts/MontserratMedium-boldItalic.ttf"/><Relationship Id="rId11" Type="http://schemas.openxmlformats.org/officeDocument/2006/relationships/font" Target="fonts/SpaceGrotesk-bold.ttf"/><Relationship Id="rId10" Type="http://schemas.openxmlformats.org/officeDocument/2006/relationships/font" Target="fonts/SpaceGrotesk-regular.ttf"/><Relationship Id="rId9" Type="http://schemas.openxmlformats.org/officeDocument/2006/relationships/font" Target="fonts/HelveticaNeue-boldItalic.ttf"/><Relationship Id="rId5" Type="http://schemas.openxmlformats.org/officeDocument/2006/relationships/font" Target="fonts/NothingYouCouldDo-regular.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