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2E5DAE0B"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5D5253C"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I – GRATUIDADE DE JUSTIÇA</w:t>
      </w:r>
    </w:p>
    <w:p w14:paraId="0D025CC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EAEA419" w14:textId="737EE433" w:rsidR="000F5A50" w:rsidRDefault="000F5A50" w:rsidP="00E62E44">
      <w:pPr>
        <w:pStyle w:val="CORPOHOMERO"/>
      </w:pPr>
      <w:r w:rsidRPr="00BB3951">
        <w:t xml:space="preserve">A parte autora é pessoa economicamente necessitada, a ponto de não ser possível custear as despesas processuais sem que ocorra o prejuízo do seu sustento e de sua família. Isso porque sua renda mensal é de apenas R$ </w:t>
      </w:r>
      <w:r w:rsidR="005808FA">
        <w:t>2.000,00 (dois mil reais)</w:t>
      </w:r>
      <w:r w:rsidRPr="00BB3951">
        <w:t xml:space="preserve"> e seu cônjuge </w:t>
      </w:r>
      <w:r w:rsidR="002D7211">
        <w:t xml:space="preserve">recebe </w:t>
      </w:r>
      <w:r w:rsidR="002D7211">
        <w:lastRenderedPageBreak/>
        <w:t>mensalmente um salário-mínimo a título de benefício de prestação continuada</w:t>
      </w:r>
      <w:r w:rsidRPr="00BB3951">
        <w:t>, consoante comprovantes inclusos nesta exordial.</w:t>
      </w:r>
    </w:p>
    <w:p w14:paraId="3DAFA525" w14:textId="57B57AD4" w:rsidR="002D7211" w:rsidRPr="00BB3951" w:rsidRDefault="00E46374" w:rsidP="00E62E44">
      <w:pPr>
        <w:pStyle w:val="CORPOHOMERO"/>
      </w:pPr>
      <w:r>
        <w:t>A renda supra tem sido completamente insuficiente para fazer frente às despesas vitais com moradia, alimentação, saúde, vestuário</w:t>
      </w:r>
      <w:r w:rsidR="00E45401">
        <w:t xml:space="preserve"> (v. comprovantes anexos)</w:t>
      </w:r>
      <w:r w:rsidR="00FF0329">
        <w:t>, tanto que preciso</w:t>
      </w:r>
      <w:r w:rsidR="00E45401">
        <w:t>u</w:t>
      </w:r>
      <w:r w:rsidR="00FF0329">
        <w:t xml:space="preserve"> contrair os empréstimos objeto desta ação.</w:t>
      </w:r>
    </w:p>
    <w:p w14:paraId="6B12159C" w14:textId="2C9651E4" w:rsidR="000F5A50" w:rsidRDefault="000F5A50" w:rsidP="00E62E44">
      <w:pPr>
        <w:pStyle w:val="CORPOHOMERO"/>
      </w:pPr>
      <w:r w:rsidRPr="00BB3951">
        <w:t>Assim, é imperiosa a concessão integral da gratuidade da justiça, em especial pela presunção estabelecida pelo art. 99, §3º, do CPC</w:t>
      </w:r>
      <w:r w:rsidR="00E45401">
        <w:t xml:space="preserve"> e porque sem esse benefício haverá impossibilidade de busca da tutela jurisdicional.</w:t>
      </w:r>
    </w:p>
    <w:p w14:paraId="08BC4DFA" w14:textId="77777777" w:rsidR="008F0C8D" w:rsidRPr="00BB3951" w:rsidRDefault="008F0C8D" w:rsidP="00E62E44">
      <w:pPr>
        <w:pStyle w:val="CORPOHOMERO"/>
      </w:pPr>
    </w:p>
    <w:p w14:paraId="5E568F41" w14:textId="659757A8"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31A634DC" w:rsidR="00F65260" w:rsidRPr="00BB3951" w:rsidRDefault="00F65260" w:rsidP="00BB3951">
      <w:pPr>
        <w:pStyle w:val="CORPOHOMERO"/>
        <w:rPr>
          <w:rFonts w:asciiTheme="minorHAnsi" w:hAnsiTheme="minorHAnsi" w:cstheme="minorHAnsi"/>
          <w:sz w:val="24"/>
          <w:szCs w:val="24"/>
        </w:rPr>
      </w:pPr>
      <w:r w:rsidRPr="00BB3951">
        <w:t xml:space="preserve">Em </w:t>
      </w:r>
      <w:r w:rsidR="007F3910">
        <w:rPr>
          <w:u w:val="single"/>
        </w:rPr>
        <w:t>14 de dezembro de 2022</w:t>
      </w:r>
      <w:r w:rsidRPr="00BB3951">
        <w:t xml:space="preserve">, o </w:t>
      </w:r>
      <w:r w:rsidR="00186F3B">
        <w:t>d</w:t>
      </w:r>
      <w:r w:rsidRPr="00BB3951">
        <w:t xml:space="preserve">emandante celebrou com a </w:t>
      </w:r>
      <w:r w:rsidR="00F74BC8" w:rsidRPr="00BB3951">
        <w:t xml:space="preserve">instituição </w:t>
      </w:r>
      <w:r w:rsidRPr="00BB3951">
        <w:t xml:space="preserve">financeira demandada um </w:t>
      </w:r>
      <w:r w:rsidRPr="00BB3951">
        <w:rPr>
          <w:b/>
          <w:bCs/>
        </w:rPr>
        <w:t xml:space="preserve">contrato bancário </w:t>
      </w:r>
      <w:r w:rsidR="00EB42AB">
        <w:rPr>
          <w:b/>
          <w:bCs/>
        </w:rPr>
        <w:t>empréstimo pessoal não consignado</w:t>
      </w:r>
      <w:r w:rsidRPr="00BB3951">
        <w:rPr>
          <w:b/>
          <w:bCs/>
        </w:rPr>
        <w:t>,</w:t>
      </w:r>
      <w:r w:rsidRPr="00BB3951">
        <w:t xml:space="preserve"> com as seguintes características:</w:t>
      </w:r>
    </w:p>
    <w:p w14:paraId="37C04CDA" w14:textId="280F48A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do contrato</w:t>
      </w:r>
      <w:r w:rsidRPr="00BB3951">
        <w:rPr>
          <w:rFonts w:asciiTheme="minorHAnsi" w:hAnsiTheme="minorHAnsi" w:cstheme="minorHAnsi"/>
          <w:sz w:val="16"/>
          <w:szCs w:val="16"/>
        </w:rPr>
        <w:t xml:space="preserve">: </w:t>
      </w:r>
      <w:r w:rsidR="007F3910">
        <w:rPr>
          <w:rFonts w:asciiTheme="minorHAnsi" w:hAnsiTheme="minorHAnsi" w:cstheme="minorHAnsi"/>
          <w:sz w:val="16"/>
          <w:szCs w:val="16"/>
        </w:rPr>
        <w:t>050780007580</w:t>
      </w:r>
    </w:p>
    <w:p w14:paraId="67512AD9" w14:textId="55DCC66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33260C">
        <w:rPr>
          <w:rFonts w:asciiTheme="minorHAnsi" w:hAnsiTheme="minorHAnsi" w:cstheme="minorHAnsi"/>
          <w:sz w:val="16"/>
          <w:szCs w:val="16"/>
        </w:rPr>
        <w:t>547,29</w:t>
      </w:r>
    </w:p>
    <w:p w14:paraId="2FE5B700" w14:textId="364BC00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xml:space="preserve">: R$ </w:t>
      </w:r>
      <w:r w:rsidR="0033260C">
        <w:rPr>
          <w:rFonts w:asciiTheme="minorHAnsi" w:hAnsiTheme="minorHAnsi" w:cstheme="minorHAnsi"/>
          <w:sz w:val="16"/>
          <w:szCs w:val="16"/>
        </w:rPr>
        <w:t>500,00</w:t>
      </w:r>
    </w:p>
    <w:p w14:paraId="1AAA519F" w14:textId="5CA96369" w:rsidR="00F65260"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IOF</w:t>
      </w:r>
      <w:r w:rsidRPr="00BB3951">
        <w:rPr>
          <w:rFonts w:asciiTheme="minorHAnsi" w:hAnsiTheme="minorHAnsi" w:cstheme="minorHAnsi"/>
          <w:sz w:val="16"/>
          <w:szCs w:val="16"/>
        </w:rPr>
        <w:t xml:space="preserve">: R$ </w:t>
      </w:r>
      <w:r w:rsidR="0033260C">
        <w:rPr>
          <w:rFonts w:asciiTheme="minorHAnsi" w:hAnsiTheme="minorHAnsi" w:cstheme="minorHAnsi"/>
          <w:sz w:val="16"/>
          <w:szCs w:val="16"/>
        </w:rPr>
        <w:t>7,29</w:t>
      </w:r>
    </w:p>
    <w:p w14:paraId="62F2E13D" w14:textId="559B9753" w:rsidR="0033260C" w:rsidRPr="00BB3951" w:rsidRDefault="0033260C"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Tarifa de cadastro</w:t>
      </w:r>
      <w:r w:rsidRPr="0033260C">
        <w:rPr>
          <w:rFonts w:asciiTheme="minorHAnsi" w:hAnsiTheme="minorHAnsi" w:cstheme="minorHAnsi"/>
          <w:sz w:val="16"/>
          <w:szCs w:val="16"/>
        </w:rPr>
        <w:t>:</w:t>
      </w:r>
      <w:r>
        <w:rPr>
          <w:rFonts w:asciiTheme="minorHAnsi" w:hAnsiTheme="minorHAnsi" w:cstheme="minorHAnsi"/>
          <w:sz w:val="16"/>
          <w:szCs w:val="16"/>
        </w:rPr>
        <w:t xml:space="preserve"> R$ 40,00</w:t>
      </w:r>
    </w:p>
    <w:p w14:paraId="1309F357" w14:textId="039FE82B"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33260C">
        <w:rPr>
          <w:rFonts w:asciiTheme="minorHAnsi" w:hAnsiTheme="minorHAnsi" w:cstheme="minorHAnsi"/>
          <w:sz w:val="16"/>
          <w:szCs w:val="16"/>
        </w:rPr>
        <w:t>22,00</w:t>
      </w:r>
      <w:r w:rsidRPr="00BB3951">
        <w:rPr>
          <w:rFonts w:asciiTheme="minorHAnsi" w:hAnsiTheme="minorHAnsi" w:cstheme="minorHAnsi"/>
          <w:sz w:val="16"/>
          <w:szCs w:val="16"/>
        </w:rPr>
        <w:t>% ao mês</w:t>
      </w:r>
      <w:r w:rsidR="00EF613B">
        <w:rPr>
          <w:rFonts w:asciiTheme="minorHAnsi" w:hAnsiTheme="minorHAnsi" w:cstheme="minorHAnsi"/>
          <w:sz w:val="16"/>
          <w:szCs w:val="16"/>
        </w:rPr>
        <w:t xml:space="preserve"> e </w:t>
      </w:r>
      <w:r w:rsidR="0033260C">
        <w:rPr>
          <w:rFonts w:asciiTheme="minorHAnsi" w:hAnsiTheme="minorHAnsi" w:cstheme="minorHAnsi"/>
          <w:sz w:val="16"/>
          <w:szCs w:val="16"/>
        </w:rPr>
        <w:t>987,22</w:t>
      </w:r>
      <w:r w:rsidR="00EF613B">
        <w:rPr>
          <w:rFonts w:asciiTheme="minorHAnsi" w:hAnsiTheme="minorHAnsi" w:cstheme="minorHAnsi"/>
          <w:sz w:val="16"/>
          <w:szCs w:val="16"/>
        </w:rPr>
        <w:t>% ao ano</w:t>
      </w:r>
      <w:r w:rsidRPr="00BB3951">
        <w:rPr>
          <w:rFonts w:asciiTheme="minorHAnsi" w:hAnsiTheme="minorHAnsi" w:cstheme="minorHAnsi"/>
          <w:sz w:val="16"/>
          <w:szCs w:val="16"/>
        </w:rPr>
        <w:t>;</w:t>
      </w:r>
    </w:p>
    <w:p w14:paraId="7FC91B61" w14:textId="752CA92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w:t>
      </w:r>
      <w:r w:rsidR="0033260C">
        <w:rPr>
          <w:rFonts w:asciiTheme="minorHAnsi" w:hAnsiTheme="minorHAnsi" w:cstheme="minorHAnsi"/>
          <w:sz w:val="16"/>
          <w:szCs w:val="16"/>
        </w:rPr>
        <w:t>12</w:t>
      </w:r>
      <w:r w:rsidRPr="00BB3951">
        <w:rPr>
          <w:rFonts w:asciiTheme="minorHAnsi" w:hAnsiTheme="minorHAnsi" w:cstheme="minorHAnsi"/>
          <w:sz w:val="16"/>
          <w:szCs w:val="16"/>
        </w:rPr>
        <w:t xml:space="preserve">, com início em </w:t>
      </w:r>
      <w:r w:rsidR="006F46AD">
        <w:rPr>
          <w:rFonts w:asciiTheme="minorHAnsi" w:hAnsiTheme="minorHAnsi" w:cstheme="minorHAnsi"/>
          <w:sz w:val="16"/>
          <w:szCs w:val="16"/>
        </w:rPr>
        <w:t>31/12/2020</w:t>
      </w:r>
      <w:r w:rsidRPr="00BB3951">
        <w:rPr>
          <w:rFonts w:asciiTheme="minorHAnsi" w:hAnsiTheme="minorHAnsi" w:cstheme="minorHAnsi"/>
          <w:sz w:val="16"/>
          <w:szCs w:val="16"/>
        </w:rPr>
        <w:t xml:space="preserve"> e término em </w:t>
      </w:r>
      <w:r w:rsidR="006F46AD">
        <w:rPr>
          <w:rFonts w:asciiTheme="minorHAnsi" w:hAnsiTheme="minorHAnsi" w:cstheme="minorHAnsi"/>
          <w:sz w:val="16"/>
          <w:szCs w:val="16"/>
        </w:rPr>
        <w:t>30/11/2021</w:t>
      </w:r>
      <w:r w:rsidRPr="00BB3951">
        <w:rPr>
          <w:rFonts w:asciiTheme="minorHAnsi" w:hAnsiTheme="minorHAnsi" w:cstheme="minorHAnsi"/>
          <w:sz w:val="16"/>
          <w:szCs w:val="16"/>
        </w:rPr>
        <w:t>;</w:t>
      </w:r>
    </w:p>
    <w:p w14:paraId="612C6314" w14:textId="09CD1F9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R$</w:t>
      </w:r>
      <w:r w:rsidR="008D599B">
        <w:rPr>
          <w:rFonts w:asciiTheme="minorHAnsi" w:hAnsiTheme="minorHAnsi" w:cstheme="minorHAnsi"/>
          <w:sz w:val="16"/>
          <w:szCs w:val="16"/>
        </w:rPr>
        <w:t xml:space="preserve"> 121,65</w:t>
      </w:r>
      <w:r w:rsidRPr="00BB3951">
        <w:rPr>
          <w:rFonts w:asciiTheme="minorHAnsi" w:hAnsiTheme="minorHAnsi" w:cstheme="minorHAnsi"/>
          <w:sz w:val="16"/>
          <w:szCs w:val="16"/>
        </w:rPr>
        <w:t>;</w:t>
      </w:r>
    </w:p>
    <w:p w14:paraId="7EE1E66E" w14:textId="7A097605"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xml:space="preserve">: </w:t>
      </w:r>
      <w:r w:rsidR="00935CEB">
        <w:rPr>
          <w:rFonts w:asciiTheme="minorHAnsi" w:hAnsiTheme="minorHAnsi" w:cstheme="minorHAnsi"/>
          <w:sz w:val="16"/>
          <w:szCs w:val="16"/>
        </w:rPr>
        <w:t>débito em conta</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6184C5B3" w14:textId="25452C4B" w:rsidR="00F65260" w:rsidRDefault="00C51FE0" w:rsidP="00ED7381">
      <w:pPr>
        <w:pStyle w:val="CORPOHOMERO"/>
      </w:pPr>
      <w:r>
        <w:t xml:space="preserve">Premido </w:t>
      </w:r>
      <w:r w:rsidR="00E52342">
        <w:t xml:space="preserve">por sua necessidade financeira e por falta esclarecimentos adequados por parte da instituição financeira demandada, </w:t>
      </w:r>
      <w:r w:rsidR="00D31EB9">
        <w:t>o</w:t>
      </w:r>
      <w:r w:rsidR="00F65260" w:rsidRPr="00BB3951">
        <w:t xml:space="preserve"> </w:t>
      </w:r>
      <w:r w:rsidR="00186F3B">
        <w:t>d</w:t>
      </w:r>
      <w:r w:rsidR="00F65260" w:rsidRPr="00BB3951">
        <w:t xml:space="preserve">emandante </w:t>
      </w:r>
      <w:r w:rsidR="00D31EB9">
        <w:t xml:space="preserve">acabou por aderir </w:t>
      </w:r>
      <w:r w:rsidR="00F65260" w:rsidRPr="00BB3951">
        <w:t xml:space="preserve">às condições contratuais impostas pela </w:t>
      </w:r>
      <w:r w:rsidR="00186F3B">
        <w:t>d</w:t>
      </w:r>
      <w:r w:rsidR="00F65260" w:rsidRPr="00BB3951">
        <w:t xml:space="preserve">emandada, haja vista que essa era a única forma </w:t>
      </w:r>
      <w:r w:rsidR="001F3EFF">
        <w:t>de fazer frente às dívidas e necessidades básicas da vida humana.</w:t>
      </w:r>
    </w:p>
    <w:p w14:paraId="41D9B6AF" w14:textId="7CDCA4F3" w:rsidR="00186F3B" w:rsidRDefault="00CE64D1" w:rsidP="00CE64D1">
      <w:pPr>
        <w:pStyle w:val="CORPOHOMERO"/>
      </w:pPr>
      <w:r>
        <w:t>Com muito dificuldade, o demandante pagou 7 prestações desse contrato, quando então</w:t>
      </w:r>
      <w:r w:rsidR="00120643">
        <w:t xml:space="preserve"> a parte demandada iniciou a série de ligações e assédio ao demandante, no sentido de renegociar o contrato anterior e ainda receber um “troco” no novo contrato.</w:t>
      </w:r>
    </w:p>
    <w:p w14:paraId="5B78FA31" w14:textId="3F0D98C3" w:rsidR="00120643" w:rsidRDefault="00AB74CD" w:rsidP="00ED7381">
      <w:pPr>
        <w:pStyle w:val="CORPOHOMERO"/>
      </w:pPr>
      <w:r>
        <w:t>Por ser pessoa de pouco esclarecimento jurídico e econômico,</w:t>
      </w:r>
      <w:r w:rsidR="00120643">
        <w:t xml:space="preserve"> e a crise financeira que assola</w:t>
      </w:r>
      <w:r>
        <w:t>va e ainda assola</w:t>
      </w:r>
      <w:r w:rsidR="00120643">
        <w:t xml:space="preserve"> o demandante, </w:t>
      </w:r>
      <w:r>
        <w:t xml:space="preserve">este </w:t>
      </w:r>
      <w:r w:rsidR="00120643">
        <w:t>acabou por aceitar a proposta de novo contrato de crédito, renegociando o saldo devedor do contrato acima, que restava o pagamento de 5 parcelas de R$ 121,65</w:t>
      </w:r>
      <w:r>
        <w:t>.</w:t>
      </w:r>
    </w:p>
    <w:p w14:paraId="65BCF719" w14:textId="7546EA60" w:rsidR="00C50F7E" w:rsidRPr="00BB3951" w:rsidRDefault="00AB74CD" w:rsidP="00C50F7E">
      <w:pPr>
        <w:pStyle w:val="CORPOHOMERO"/>
        <w:rPr>
          <w:rFonts w:asciiTheme="minorHAnsi" w:hAnsiTheme="minorHAnsi" w:cstheme="minorHAnsi"/>
          <w:sz w:val="24"/>
          <w:szCs w:val="24"/>
        </w:rPr>
      </w:pPr>
      <w:r>
        <w:t xml:space="preserve">Assim foi celebrado um novo contrato n. </w:t>
      </w:r>
      <w:r w:rsidR="00C50F7E">
        <w:t>050780010825, com as seguintes características:</w:t>
      </w:r>
    </w:p>
    <w:p w14:paraId="15CABC07" w14:textId="72C52D9C" w:rsidR="00C50F7E" w:rsidRPr="00BB3951"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620AEC">
        <w:rPr>
          <w:rFonts w:asciiTheme="minorHAnsi" w:hAnsiTheme="minorHAnsi" w:cstheme="minorHAnsi"/>
          <w:sz w:val="16"/>
          <w:szCs w:val="16"/>
        </w:rPr>
        <w:t>489,10</w:t>
      </w:r>
    </w:p>
    <w:p w14:paraId="1D9C0EDE" w14:textId="1139F25E" w:rsidR="00C50F7E"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xml:space="preserve">: R$ </w:t>
      </w:r>
      <w:r w:rsidR="00620AEC">
        <w:rPr>
          <w:rFonts w:asciiTheme="minorHAnsi" w:hAnsiTheme="minorHAnsi" w:cstheme="minorHAnsi"/>
          <w:sz w:val="16"/>
          <w:szCs w:val="16"/>
        </w:rPr>
        <w:t>153,50</w:t>
      </w:r>
    </w:p>
    <w:p w14:paraId="4B26840E" w14:textId="77A149C4" w:rsidR="00620AEC" w:rsidRPr="00BB3951" w:rsidRDefault="00620AEC"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Valor do contrato anterior que foi quitado</w:t>
      </w:r>
      <w:r w:rsidRPr="00620AEC">
        <w:rPr>
          <w:rFonts w:asciiTheme="minorHAnsi" w:hAnsiTheme="minorHAnsi" w:cstheme="minorHAnsi"/>
          <w:sz w:val="16"/>
          <w:szCs w:val="16"/>
        </w:rPr>
        <w:t>:</w:t>
      </w:r>
      <w:r>
        <w:rPr>
          <w:rFonts w:asciiTheme="minorHAnsi" w:hAnsiTheme="minorHAnsi" w:cstheme="minorHAnsi"/>
          <w:sz w:val="16"/>
          <w:szCs w:val="16"/>
        </w:rPr>
        <w:t xml:space="preserve"> R$ 329,50</w:t>
      </w:r>
    </w:p>
    <w:p w14:paraId="06F32894" w14:textId="117C083D" w:rsidR="00C50F7E"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IOF</w:t>
      </w:r>
      <w:r w:rsidRPr="00BB3951">
        <w:rPr>
          <w:rFonts w:asciiTheme="minorHAnsi" w:hAnsiTheme="minorHAnsi" w:cstheme="minorHAnsi"/>
          <w:sz w:val="16"/>
          <w:szCs w:val="16"/>
        </w:rPr>
        <w:t xml:space="preserve">: R$ </w:t>
      </w:r>
      <w:r w:rsidR="00620AEC">
        <w:rPr>
          <w:rFonts w:asciiTheme="minorHAnsi" w:hAnsiTheme="minorHAnsi" w:cstheme="minorHAnsi"/>
          <w:sz w:val="16"/>
          <w:szCs w:val="16"/>
        </w:rPr>
        <w:t>6,10</w:t>
      </w:r>
    </w:p>
    <w:p w14:paraId="75104766" w14:textId="4910F691" w:rsidR="00C50F7E" w:rsidRPr="00BB3951"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5632C4">
        <w:rPr>
          <w:rFonts w:asciiTheme="minorHAnsi" w:hAnsiTheme="minorHAnsi" w:cstheme="minorHAnsi"/>
          <w:sz w:val="16"/>
          <w:szCs w:val="16"/>
        </w:rPr>
        <w:t>22</w:t>
      </w:r>
      <w:r w:rsidRPr="00BB3951">
        <w:rPr>
          <w:rFonts w:asciiTheme="minorHAnsi" w:hAnsiTheme="minorHAnsi" w:cstheme="minorHAnsi"/>
          <w:sz w:val="16"/>
          <w:szCs w:val="16"/>
        </w:rPr>
        <w:t>% ao mês</w:t>
      </w:r>
      <w:r>
        <w:rPr>
          <w:rFonts w:asciiTheme="minorHAnsi" w:hAnsiTheme="minorHAnsi" w:cstheme="minorHAnsi"/>
          <w:sz w:val="16"/>
          <w:szCs w:val="16"/>
        </w:rPr>
        <w:t xml:space="preserve"> e 987,22% ao ano</w:t>
      </w:r>
      <w:r w:rsidRPr="00BB3951">
        <w:rPr>
          <w:rFonts w:asciiTheme="minorHAnsi" w:hAnsiTheme="minorHAnsi" w:cstheme="minorHAnsi"/>
          <w:sz w:val="16"/>
          <w:szCs w:val="16"/>
        </w:rPr>
        <w:t>;</w:t>
      </w:r>
    </w:p>
    <w:p w14:paraId="0C9019CE" w14:textId="740EA1F7" w:rsidR="00C50F7E" w:rsidRPr="00BB3951"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w:t>
      </w:r>
      <w:r w:rsidR="005632C4">
        <w:rPr>
          <w:rFonts w:asciiTheme="minorHAnsi" w:hAnsiTheme="minorHAnsi" w:cstheme="minorHAnsi"/>
          <w:sz w:val="16"/>
          <w:szCs w:val="16"/>
        </w:rPr>
        <w:t>7</w:t>
      </w:r>
      <w:r w:rsidRPr="00BB3951">
        <w:rPr>
          <w:rFonts w:asciiTheme="minorHAnsi" w:hAnsiTheme="minorHAnsi" w:cstheme="minorHAnsi"/>
          <w:sz w:val="16"/>
          <w:szCs w:val="16"/>
        </w:rPr>
        <w:t xml:space="preserve">, com início em </w:t>
      </w:r>
      <w:r w:rsidR="00AF2F7E">
        <w:rPr>
          <w:rFonts w:asciiTheme="minorHAnsi" w:hAnsiTheme="minorHAnsi" w:cstheme="minorHAnsi"/>
          <w:sz w:val="16"/>
          <w:szCs w:val="16"/>
        </w:rPr>
        <w:t>30/07/21</w:t>
      </w:r>
      <w:r w:rsidRPr="00BB3951">
        <w:rPr>
          <w:rFonts w:asciiTheme="minorHAnsi" w:hAnsiTheme="minorHAnsi" w:cstheme="minorHAnsi"/>
          <w:sz w:val="16"/>
          <w:szCs w:val="16"/>
        </w:rPr>
        <w:t xml:space="preserve"> e término em </w:t>
      </w:r>
      <w:r w:rsidR="00AF2F7E">
        <w:rPr>
          <w:rFonts w:asciiTheme="minorHAnsi" w:hAnsiTheme="minorHAnsi" w:cstheme="minorHAnsi"/>
          <w:sz w:val="16"/>
          <w:szCs w:val="16"/>
        </w:rPr>
        <w:t>31/01/2022</w:t>
      </w:r>
      <w:r w:rsidRPr="00BB3951">
        <w:rPr>
          <w:rFonts w:asciiTheme="minorHAnsi" w:hAnsiTheme="minorHAnsi" w:cstheme="minorHAnsi"/>
          <w:sz w:val="16"/>
          <w:szCs w:val="16"/>
        </w:rPr>
        <w:t>;</w:t>
      </w:r>
    </w:p>
    <w:p w14:paraId="0F3AB028" w14:textId="4594F1AD" w:rsidR="00C50F7E" w:rsidRPr="00BB3951"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R$</w:t>
      </w:r>
      <w:r>
        <w:rPr>
          <w:rFonts w:asciiTheme="minorHAnsi" w:hAnsiTheme="minorHAnsi" w:cstheme="minorHAnsi"/>
          <w:sz w:val="16"/>
          <w:szCs w:val="16"/>
        </w:rPr>
        <w:t xml:space="preserve"> </w:t>
      </w:r>
      <w:r w:rsidR="009030E7">
        <w:rPr>
          <w:rFonts w:asciiTheme="minorHAnsi" w:hAnsiTheme="minorHAnsi" w:cstheme="minorHAnsi"/>
          <w:sz w:val="16"/>
          <w:szCs w:val="16"/>
        </w:rPr>
        <w:t>150,00</w:t>
      </w:r>
      <w:r w:rsidRPr="00BB3951">
        <w:rPr>
          <w:rFonts w:asciiTheme="minorHAnsi" w:hAnsiTheme="minorHAnsi" w:cstheme="minorHAnsi"/>
          <w:sz w:val="16"/>
          <w:szCs w:val="16"/>
        </w:rPr>
        <w:t>;</w:t>
      </w:r>
    </w:p>
    <w:p w14:paraId="5984AA79" w14:textId="77777777" w:rsidR="00C50F7E" w:rsidRPr="00BB3951" w:rsidRDefault="00C50F7E" w:rsidP="00C50F7E">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xml:space="preserve">: </w:t>
      </w:r>
      <w:r>
        <w:rPr>
          <w:rFonts w:asciiTheme="minorHAnsi" w:hAnsiTheme="minorHAnsi" w:cstheme="minorHAnsi"/>
          <w:sz w:val="16"/>
          <w:szCs w:val="16"/>
        </w:rPr>
        <w:t>débito em conta</w:t>
      </w:r>
    </w:p>
    <w:p w14:paraId="7C241B8F" w14:textId="77777777" w:rsidR="00186F3B" w:rsidRPr="00BB3951" w:rsidRDefault="00186F3B" w:rsidP="00ED7381">
      <w:pPr>
        <w:pStyle w:val="CORPOHOMERO"/>
      </w:pPr>
    </w:p>
    <w:p w14:paraId="7124F8E8" w14:textId="77777777" w:rsidR="00F65260" w:rsidRPr="00BB3951" w:rsidRDefault="00F65260" w:rsidP="00ED7381">
      <w:pPr>
        <w:pStyle w:val="CORPOHOMERO"/>
      </w:pPr>
      <w:r w:rsidRPr="00BB3951">
        <w:t>O problema é que a prestação imposta pela Demandada impactou fortemente o orçamento familiar do Demandante, o que o levou a procurar orientação jurídica sobre situação contratual.</w:t>
      </w:r>
    </w:p>
    <w:p w14:paraId="76FB427B" w14:textId="58C646CD" w:rsidR="00ED7381" w:rsidRPr="00BB3951" w:rsidRDefault="00F65260" w:rsidP="00ED7381">
      <w:pPr>
        <w:pStyle w:val="CORPOHOMERO"/>
      </w:pPr>
      <w:r w:rsidRPr="00BB3951">
        <w:t>Foi aí que a parte Demandante ficou ainda mais perplexa com a situação. Isso porque o cálculo que lhe foi apresentado simplesmente atestou que o valor pago pelo</w:t>
      </w:r>
      <w:r w:rsidR="0098128D">
        <w:t>s</w:t>
      </w:r>
      <w:r w:rsidRPr="00BB3951">
        <w:t xml:space="preserve"> contrato</w:t>
      </w:r>
      <w:r w:rsidR="0098128D">
        <w:t>s</w:t>
      </w:r>
      <w:r w:rsidRPr="00BB3951">
        <w:t xml:space="preserve"> é verdadeiramente extorsivo</w:t>
      </w:r>
      <w:r w:rsidR="00952016">
        <w:t xml:space="preserve">, especialmente porque </w:t>
      </w:r>
      <w:r w:rsidR="00952016" w:rsidRPr="00083CFE">
        <w:rPr>
          <w:u w:val="single"/>
        </w:rPr>
        <w:t>h</w:t>
      </w:r>
      <w:r w:rsidR="00952016" w:rsidRPr="00952016">
        <w:rPr>
          <w:u w:val="single"/>
        </w:rPr>
        <w:t>ouve a cobrança de taxa de juros extremamente elevadas</w:t>
      </w:r>
      <w:r w:rsidR="00952016">
        <w:t xml:space="preserve"> e em completa </w:t>
      </w:r>
      <w:r w:rsidR="00952016" w:rsidRPr="00952016">
        <w:rPr>
          <w:u w:val="single"/>
        </w:rPr>
        <w:t>desproporcionalidade com a taxa média de mercado</w:t>
      </w:r>
      <w:r w:rsidR="00952016">
        <w:t xml:space="preserve"> praticada pelas demais instituições, c</w:t>
      </w:r>
      <w:r w:rsidRPr="00BB3951">
        <w:t>omo será concretamente demonstrado doravante</w:t>
      </w:r>
      <w:r w:rsidR="00952016">
        <w:t>.</w:t>
      </w:r>
    </w:p>
    <w:p w14:paraId="49B5EF63" w14:textId="39265DC8" w:rsidR="00F65260" w:rsidRPr="00BB3951" w:rsidRDefault="00F65260" w:rsidP="00ED7381">
      <w:pPr>
        <w:pStyle w:val="CORPOHOMERO"/>
      </w:pPr>
      <w:r w:rsidRPr="00BB3951">
        <w:t>É importante destacar que não houve qualquer tipo de risco bancário na transação capaz de justificar a exacerbada taxa de juros, tanto que a parte ré certamente não conseguirá apresentar provar do seu “spread”</w:t>
      </w:r>
      <w:r w:rsidR="00F62F99">
        <w:t xml:space="preserve"> hábil a justiça a taxa de juros pratica</w:t>
      </w:r>
      <w:r w:rsidR="00F20472">
        <w:t>da</w:t>
      </w:r>
      <w:r w:rsidR="002C1699">
        <w:t xml:space="preserve"> nos contratos questionados nesta ação.</w:t>
      </w:r>
    </w:p>
    <w:p w14:paraId="131563C9" w14:textId="71508952" w:rsidR="00F65260" w:rsidRPr="00BB3951" w:rsidRDefault="00F65260" w:rsidP="00ED7381">
      <w:pPr>
        <w:pStyle w:val="CORPOHOMERO"/>
      </w:pPr>
      <w:r w:rsidRPr="00BB3951">
        <w:t xml:space="preserve">Por fim, </w:t>
      </w:r>
      <w:r w:rsidR="00F20472">
        <w:t>salienta-se</w:t>
      </w:r>
      <w:r w:rsidRPr="00BB3951">
        <w:t xml:space="preserve"> que </w:t>
      </w:r>
      <w:r w:rsidR="00F20472">
        <w:t>foi buscada</w:t>
      </w:r>
      <w:r w:rsidRPr="00BB3951">
        <w:t xml:space="preserve"> a solução extrajudicial, no sentido de reajustar as condições contratuais, porém a Demandada se mostrou intransigente (v. </w:t>
      </w:r>
      <w:r w:rsidRPr="00BB3951">
        <w:rPr>
          <w:b/>
          <w:bCs/>
        </w:rPr>
        <w:t>ANEXO xx</w:t>
      </w:r>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61E4759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I</w:t>
      </w:r>
      <w:r w:rsidR="00B77AE7">
        <w:rPr>
          <w:rFonts w:asciiTheme="minorHAnsi" w:hAnsiTheme="minorHAnsi" w:cstheme="minorHAnsi"/>
          <w:b/>
          <w:sz w:val="24"/>
          <w:szCs w:val="24"/>
        </w:rPr>
        <w:t>II</w:t>
      </w:r>
      <w:r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1056CF2B" w:rsidR="00FA27AB" w:rsidRPr="00BB3951" w:rsidRDefault="00B77AE7"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730EEA5C" w14:textId="3065263D" w:rsidR="00FA27AB" w:rsidRPr="00BB3951" w:rsidRDefault="009C4A01" w:rsidP="001704EC">
      <w:pPr>
        <w:pStyle w:val="CORPOHOMERO"/>
        <w:rPr>
          <w:rFonts w:cstheme="minorBidi"/>
        </w:rPr>
      </w:pPr>
      <w:r>
        <w:t>A</w:t>
      </w:r>
      <w:r w:rsidR="00FA27AB" w:rsidRPr="00BB3951">
        <w:t xml:space="preserve"> </w:t>
      </w:r>
      <w:r w:rsidR="00FA27AB" w:rsidRPr="00BB3951">
        <w:rPr>
          <w:u w:val="single"/>
        </w:rPr>
        <w:t>relação jurídica havida entre as partes é de consumo</w:t>
      </w:r>
      <w:r w:rsidR="00FA27AB" w:rsidRPr="00BB3951">
        <w:t xml:space="preserve">, porque a parte </w:t>
      </w:r>
      <w:r>
        <w:t>d</w:t>
      </w:r>
      <w:r w:rsidR="00FA27AB" w:rsidRPr="00BB3951">
        <w:t xml:space="preserve">emandante adquiriu, como consumidora final (art. 2º, CDC), </w:t>
      </w:r>
      <w:r w:rsidR="002C1699">
        <w:t>produtos financeiros</w:t>
      </w:r>
      <w:r w:rsidR="00FA27AB" w:rsidRPr="00BB3951">
        <w:t xml:space="preserve"> da parte </w:t>
      </w:r>
      <w:r>
        <w:t>d</w:t>
      </w:r>
      <w:r w:rsidR="00FA27AB" w:rsidRPr="00BB3951">
        <w:t xml:space="preserve">emandada, que é uma fornecedora real (art. 3º, CDC). </w:t>
      </w:r>
      <w:r w:rsidR="00FA27AB" w:rsidRPr="00BB3951">
        <w:rPr>
          <w:rFonts w:cstheme="minorBidi"/>
        </w:rPr>
        <w:t>Consequentemente, a análise do</w:t>
      </w:r>
      <w:r w:rsidR="002C1699">
        <w:rPr>
          <w:rFonts w:cstheme="minorBidi"/>
        </w:rPr>
        <w:t>s</w:t>
      </w:r>
      <w:r w:rsidR="00FA27AB" w:rsidRPr="00BB3951">
        <w:rPr>
          <w:rFonts w:cstheme="minorBidi"/>
        </w:rPr>
        <w:t xml:space="preserve"> contrato</w:t>
      </w:r>
      <w:r w:rsidR="002C1699">
        <w:rPr>
          <w:rFonts w:cstheme="minorBidi"/>
        </w:rPr>
        <w:t>s</w:t>
      </w:r>
      <w:r w:rsidR="00FA27AB" w:rsidRPr="00BB3951">
        <w:rPr>
          <w:rFonts w:cstheme="minorBidi"/>
        </w:rPr>
        <w:t xml:space="preserve"> em estudo deverá ser feita à luz da Lei 8.078/90</w:t>
      </w:r>
      <w:r w:rsidR="00FA27AB" w:rsidRPr="00BB3951">
        <w:rPr>
          <w:rStyle w:val="Refdenotaderodap"/>
          <w:rFonts w:asciiTheme="minorHAnsi" w:hAnsiTheme="minorHAnsi" w:cstheme="minorBidi"/>
          <w:sz w:val="24"/>
          <w:szCs w:val="24"/>
        </w:rPr>
        <w:footnoteReference w:id="2"/>
      </w:r>
      <w:r w:rsidR="00FA27AB" w:rsidRPr="00BB3951">
        <w:rPr>
          <w:rFonts w:cstheme="minorBidi"/>
        </w:rPr>
        <w:t>, inclusive sob a premissa de que as cláusulas contratuais devem ser interpretadas de maneira mais favorável ao consumidor (art. 47, CDC).</w:t>
      </w:r>
    </w:p>
    <w:p w14:paraId="714B5179" w14:textId="3E10BCDF" w:rsidR="00737460" w:rsidRPr="00BB3951" w:rsidRDefault="002D2CAE" w:rsidP="00737460">
      <w:pPr>
        <w:pStyle w:val="CORPOHOMERO"/>
      </w:pPr>
      <w:r>
        <w:t>É por isso que a</w:t>
      </w:r>
      <w:r w:rsidR="00FA27AB" w:rsidRPr="00BB3951">
        <w:t xml:space="preserve"> </w:t>
      </w:r>
      <w:r w:rsidR="00FA27AB" w:rsidRPr="00E83014">
        <w:rPr>
          <w:b/>
          <w:bCs/>
        </w:rPr>
        <w:t>revisão ou modificação de cláusulas contratuais é um direito do consumidor</w:t>
      </w:r>
      <w:r w:rsidR="00FA27AB" w:rsidRPr="00BB3951">
        <w:t xml:space="preserve"> expressamente consignado no art. 6º, V e no §4º do art. 51, ambos do CDC</w:t>
      </w:r>
      <w:r w:rsidR="00737460">
        <w:t>, especialmente quando houver</w:t>
      </w:r>
      <w:r w:rsidR="00737460" w:rsidRPr="00BB3951">
        <w:t xml:space="preserve">: i) </w:t>
      </w:r>
      <w:r w:rsidR="00737460" w:rsidRPr="00E83014">
        <w:t>prestações desproporcionais</w:t>
      </w:r>
      <w:r w:rsidR="00737460" w:rsidRPr="00BB3951">
        <w:t>; ii) onerosidade excessiva decorrente de fatos supervenientes; iii) violação das normas do CDC.</w:t>
      </w:r>
    </w:p>
    <w:p w14:paraId="5E35FEF9" w14:textId="448A0A28" w:rsidR="00FA27AB" w:rsidRPr="00814191" w:rsidRDefault="00A5336D" w:rsidP="001704EC">
      <w:pPr>
        <w:pStyle w:val="CORPOHOMERO"/>
      </w:pPr>
      <w:r>
        <w:t xml:space="preserve">Não só isso, </w:t>
      </w:r>
      <w:r w:rsidR="00142631">
        <w:t>haverá de ser declarada nula de pleno direito as</w:t>
      </w:r>
      <w:r w:rsidR="00E25449">
        <w:t xml:space="preserve"> cláusulas com </w:t>
      </w:r>
      <w:r w:rsidR="00814191" w:rsidRPr="00BB3951">
        <w:rPr>
          <w:i/>
          <w:iCs/>
        </w:rPr>
        <w:t>“obrigações consideradas iníquas, abusivas, que coloquem o consumidor em desvantagem exagerada, ou sejam incompatíveis com a boa-fé ou a equidade”</w:t>
      </w:r>
      <w:r w:rsidR="00814191">
        <w:rPr>
          <w:i/>
          <w:iCs/>
        </w:rPr>
        <w:t xml:space="preserve"> </w:t>
      </w:r>
      <w:r w:rsidR="00142631" w:rsidRPr="00BB3951">
        <w:t>(art., 51, IV, CDC).</w:t>
      </w:r>
    </w:p>
    <w:p w14:paraId="35E5E593" w14:textId="02CE0A77" w:rsidR="000F5A50" w:rsidRDefault="00FA27AB" w:rsidP="001704EC">
      <w:pPr>
        <w:pStyle w:val="CORPOHOMERO"/>
      </w:pPr>
      <w:r w:rsidRPr="00BB3951">
        <w:t xml:space="preserve">No caso presente, a </w:t>
      </w:r>
      <w:r w:rsidR="00EA4A31">
        <w:t>d</w:t>
      </w:r>
      <w:r w:rsidRPr="00BB3951">
        <w:t xml:space="preserve">emandada concedeu </w:t>
      </w:r>
      <w:r w:rsidR="002C1699">
        <w:t>empréstimos bancários</w:t>
      </w:r>
      <w:r w:rsidRPr="00BB3951">
        <w:t xml:space="preserve"> ao </w:t>
      </w:r>
      <w:r w:rsidR="00EA4A31">
        <w:t>d</w:t>
      </w:r>
      <w:r w:rsidRPr="00BB3951">
        <w:t xml:space="preserve">emandante, impondo-lhe </w:t>
      </w:r>
      <w:r w:rsidR="006269D2">
        <w:t>obrigações</w:t>
      </w:r>
      <w:r w:rsidRPr="00BB3951">
        <w:t xml:space="preserve"> completamente injusta</w:t>
      </w:r>
      <w:r w:rsidR="006269D2">
        <w:t>s</w:t>
      </w:r>
      <w:r w:rsidRPr="00BB3951">
        <w:t xml:space="preserve"> e desproporciona</w:t>
      </w:r>
      <w:r w:rsidR="006269D2">
        <w:t>is</w:t>
      </w:r>
      <w:r w:rsidRPr="00BB3951">
        <w:t>, de modo que é necessário o reequilíbrio contratual por meio da revisão das seguintes cláusulas do</w:t>
      </w:r>
      <w:r w:rsidR="006269D2">
        <w:t>s</w:t>
      </w:r>
      <w:r w:rsidRPr="00BB3951">
        <w:t xml:space="preserve"> contrato</w:t>
      </w:r>
      <w:r w:rsidR="006269D2">
        <w:t>s</w:t>
      </w:r>
      <w:r w:rsidRPr="00BB3951">
        <w:t xml:space="preserve"> objeto da ação.</w:t>
      </w:r>
    </w:p>
    <w:p w14:paraId="710AD8BB" w14:textId="77777777" w:rsidR="007D0ADE" w:rsidRPr="00BB3951" w:rsidRDefault="007D0ADE" w:rsidP="001704EC">
      <w:pPr>
        <w:pStyle w:val="CORPOHOMERO"/>
      </w:pPr>
    </w:p>
    <w:p w14:paraId="4FA51636" w14:textId="6CDA47E3" w:rsidR="000F5A50" w:rsidRPr="00BB3951" w:rsidRDefault="00B77AE7" w:rsidP="000F5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0F5A50" w:rsidRPr="00BB3951">
        <w:rPr>
          <w:rFonts w:asciiTheme="minorHAnsi" w:hAnsiTheme="minorHAnsi" w:cstheme="minorHAnsi"/>
          <w:b/>
          <w:sz w:val="24"/>
          <w:szCs w:val="24"/>
          <w:u w:val="single"/>
        </w:rPr>
        <w:t xml:space="preserve">. 2. </w:t>
      </w:r>
      <w:r w:rsidR="001704EC" w:rsidRPr="00BB3951">
        <w:rPr>
          <w:rFonts w:asciiTheme="minorHAnsi" w:hAnsiTheme="minorHAnsi" w:cstheme="minorHAnsi"/>
          <w:b/>
          <w:sz w:val="24"/>
          <w:szCs w:val="24"/>
          <w:u w:val="single"/>
        </w:rPr>
        <w:t>Da abusividade d</w:t>
      </w:r>
      <w:r w:rsidR="004D55AF">
        <w:rPr>
          <w:rFonts w:asciiTheme="minorHAnsi" w:hAnsiTheme="minorHAnsi" w:cstheme="minorHAnsi"/>
          <w:b/>
          <w:sz w:val="24"/>
          <w:szCs w:val="24"/>
          <w:u w:val="single"/>
        </w:rPr>
        <w:t>os</w:t>
      </w:r>
      <w:r w:rsidR="001704EC" w:rsidRPr="00BB3951">
        <w:rPr>
          <w:rFonts w:asciiTheme="minorHAnsi" w:hAnsiTheme="minorHAnsi" w:cstheme="minorHAnsi"/>
          <w:b/>
          <w:sz w:val="24"/>
          <w:szCs w:val="24"/>
          <w:u w:val="single"/>
        </w:rPr>
        <w:t xml:space="preserve"> juros remuneratórios</w:t>
      </w:r>
      <w:r w:rsidR="004D55AF">
        <w:rPr>
          <w:rFonts w:asciiTheme="minorHAnsi" w:hAnsiTheme="minorHAnsi" w:cstheme="minorHAnsi"/>
          <w:b/>
          <w:sz w:val="24"/>
          <w:szCs w:val="24"/>
          <w:u w:val="single"/>
        </w:rPr>
        <w:t xml:space="preserve"> nos contratos bancários</w:t>
      </w:r>
    </w:p>
    <w:p w14:paraId="2123A96B" w14:textId="77777777" w:rsidR="005E17AD" w:rsidRDefault="005E17AD" w:rsidP="00F20472">
      <w:pPr>
        <w:pStyle w:val="CORPOHOMERO"/>
      </w:pPr>
    </w:p>
    <w:p w14:paraId="7BDC94D9" w14:textId="77777777" w:rsidR="005E17AD" w:rsidRPr="00371E59" w:rsidRDefault="005E17AD" w:rsidP="005E17AD">
      <w:pPr>
        <w:pStyle w:val="CORPOHOMERO"/>
        <w:rPr>
          <w:rFonts w:asciiTheme="minorHAnsi" w:hAnsiTheme="minorHAnsi" w:cstheme="minorHAnsi"/>
        </w:rPr>
      </w:pPr>
      <w:r w:rsidRPr="00371E59">
        <w:rPr>
          <w:rFonts w:asciiTheme="minorHAnsi" w:hAnsiTheme="minorHAnsi" w:cstheme="minorHAnsi"/>
        </w:rPr>
        <w:t>É certo que o mútuo bancário visa ao lucro, porém ele não pode jamais ser um fator de absoluto desequilíbrio contratual, porque a</w:t>
      </w:r>
      <w:r w:rsidRPr="00371E59">
        <w:rPr>
          <w:rFonts w:asciiTheme="minorHAnsi" w:hAnsiTheme="minorHAnsi" w:cstheme="minorHAnsi"/>
          <w:b/>
          <w:bCs/>
        </w:rPr>
        <w:t xml:space="preserve"> harmonia na relação de consumo é um objetivo e um princípio da Política Nacional das Relações de Consumo</w:t>
      </w:r>
      <w:r w:rsidRPr="00371E59">
        <w:rPr>
          <w:rFonts w:asciiTheme="minorHAnsi" w:hAnsiTheme="minorHAnsi" w:cstheme="minorHAnsi"/>
        </w:rPr>
        <w:t xml:space="preserve"> (art. 4º, </w:t>
      </w:r>
      <w:r w:rsidRPr="00371E59">
        <w:rPr>
          <w:rFonts w:asciiTheme="minorHAnsi" w:hAnsiTheme="minorHAnsi" w:cstheme="minorHAnsi"/>
          <w:i/>
          <w:iCs/>
        </w:rPr>
        <w:t>caput</w:t>
      </w:r>
      <w:r w:rsidRPr="00371E59">
        <w:rPr>
          <w:rFonts w:asciiTheme="minorHAnsi" w:hAnsiTheme="minorHAnsi" w:cstheme="minorHAnsi"/>
        </w:rPr>
        <w:t xml:space="preserve"> e inciso III, CDC). </w:t>
      </w:r>
    </w:p>
    <w:p w14:paraId="1EBE64B7" w14:textId="32C3F2BE" w:rsidR="00FC1601" w:rsidRPr="00B77AE7" w:rsidRDefault="005E17AD" w:rsidP="00F20472">
      <w:pPr>
        <w:pStyle w:val="CORPOHOMERO"/>
      </w:pPr>
      <w:r>
        <w:t xml:space="preserve">Nesse sentido é que </w:t>
      </w:r>
      <w:r w:rsidR="00B149EE">
        <w:t>a</w:t>
      </w:r>
      <w:r w:rsidR="00FC1601" w:rsidRPr="00B77AE7">
        <w:t xml:space="preserve"> revisão dos juros remuneratórios de contratos bancários</w:t>
      </w:r>
      <w:r w:rsidR="00B149EE">
        <w:t xml:space="preserve"> foi admitida pelo Superior Tribunal de Justiça em sede de </w:t>
      </w:r>
      <w:r w:rsidR="00FC1601" w:rsidRPr="00B77AE7">
        <w:rPr>
          <w:u w:val="single"/>
        </w:rPr>
        <w:t>recurso especial repetitivo</w:t>
      </w:r>
      <w:r w:rsidR="00CC64C8">
        <w:rPr>
          <w:u w:val="single"/>
        </w:rPr>
        <w:t xml:space="preserve"> (</w:t>
      </w:r>
      <w:r w:rsidR="00CC64C8" w:rsidRPr="00CC64C8">
        <w:rPr>
          <w:u w:val="single"/>
        </w:rPr>
        <w:t>REsp 1.061.530</w:t>
      </w:r>
      <w:r w:rsidR="00CC64C8">
        <w:rPr>
          <w:u w:val="single"/>
        </w:rPr>
        <w:t>)</w:t>
      </w:r>
      <w:r w:rsidR="00B149EE">
        <w:rPr>
          <w:u w:val="single"/>
        </w:rPr>
        <w:t>.</w:t>
      </w:r>
      <w:r w:rsidR="00B149EE">
        <w:t xml:space="preserve"> </w:t>
      </w:r>
      <w:r w:rsidR="00FC1601" w:rsidRPr="00B77AE7">
        <w:t xml:space="preserve"> </w:t>
      </w:r>
      <w:r w:rsidR="00E95503">
        <w:t xml:space="preserve">Ficou definida </w:t>
      </w:r>
      <w:r w:rsidR="00084D62">
        <w:t xml:space="preserve">a premissa de que </w:t>
      </w:r>
      <w:r w:rsidR="00084D62" w:rsidRPr="00005F00">
        <w:rPr>
          <w:b/>
          <w:bCs/>
        </w:rPr>
        <w:t>a revisão será cabível quando os juros</w:t>
      </w:r>
      <w:r w:rsidR="00FC1601" w:rsidRPr="00005F00">
        <w:rPr>
          <w:b/>
          <w:bCs/>
        </w:rPr>
        <w:t xml:space="preserve"> colocar</w:t>
      </w:r>
      <w:r w:rsidR="002D375D" w:rsidRPr="00005F00">
        <w:rPr>
          <w:b/>
          <w:bCs/>
        </w:rPr>
        <w:t>em</w:t>
      </w:r>
      <w:r w:rsidR="00FC1601" w:rsidRPr="00005F00">
        <w:rPr>
          <w:b/>
          <w:bCs/>
        </w:rPr>
        <w:t xml:space="preserve"> o consumidor em</w:t>
      </w:r>
      <w:r w:rsidR="00084D62" w:rsidRPr="00005F00">
        <w:rPr>
          <w:b/>
          <w:bCs/>
        </w:rPr>
        <w:t xml:space="preserve"> situação de</w:t>
      </w:r>
      <w:r w:rsidR="00FC1601" w:rsidRPr="00005F00">
        <w:rPr>
          <w:b/>
          <w:bCs/>
        </w:rPr>
        <w:t xml:space="preserve"> desvantagem exagerada</w:t>
      </w:r>
      <w:r w:rsidR="00FC1601" w:rsidRPr="00B77AE7">
        <w:t>.</w:t>
      </w:r>
      <w:r w:rsidR="00FC1601" w:rsidRPr="00B77AE7">
        <w:rPr>
          <w:rStyle w:val="Refdenotaderodap"/>
          <w:rFonts w:asciiTheme="minorHAnsi" w:hAnsiTheme="minorHAnsi" w:cstheme="minorHAnsi"/>
          <w:sz w:val="20"/>
          <w:szCs w:val="20"/>
        </w:rPr>
        <w:footnoteReference w:id="3"/>
      </w:r>
    </w:p>
    <w:p w14:paraId="533FE6DB" w14:textId="20A96BB8" w:rsidR="00185369" w:rsidRDefault="00005F00" w:rsidP="003A5F81">
      <w:pPr>
        <w:pStyle w:val="CORPOHOMERO"/>
      </w:pPr>
      <w:r>
        <w:t>É essencial lembrar que e</w:t>
      </w:r>
      <w:r w:rsidR="003A5F81">
        <w:t xml:space="preserve">ssa desvantagem não foi definida e muito menos tarifada pelo STJ. Ou seja, </w:t>
      </w:r>
      <w:r>
        <w:t xml:space="preserve">não existe a estória contada pelas instituições financeiras nas suas defesas e recursos de </w:t>
      </w:r>
      <w:r w:rsidR="003A5F81">
        <w:t xml:space="preserve">que </w:t>
      </w:r>
      <w:r w:rsidR="00185369" w:rsidRPr="00B77AE7">
        <w:t xml:space="preserve">o Superior Tribunal de Justiça pacificou entendimento </w:t>
      </w:r>
      <w:r>
        <w:t>no sentido de que</w:t>
      </w:r>
      <w:r w:rsidR="00185369" w:rsidRPr="00B77AE7">
        <w:t xml:space="preserve"> a abusividade da taxa de juros remuneratórios somente será acolhida quando houver excesso de 50% ou da chamada uma vez e meia (excesso de 150%).</w:t>
      </w:r>
    </w:p>
    <w:p w14:paraId="7A3AF12F" w14:textId="26C99FB4" w:rsidR="00A22561" w:rsidRPr="00A22561" w:rsidRDefault="00A22561" w:rsidP="003A5F81">
      <w:pPr>
        <w:pStyle w:val="CORPOHOMERO"/>
        <w:rPr>
          <w:b/>
          <w:bCs/>
        </w:rPr>
      </w:pPr>
      <w:r w:rsidRPr="00A22561">
        <w:rPr>
          <w:b/>
          <w:bCs/>
        </w:rPr>
        <w:t>A abusividade deve ser analisada em cada caso concreto!!!</w:t>
      </w:r>
      <w:r>
        <w:rPr>
          <w:rStyle w:val="Refdenotaderodap"/>
          <w:b/>
          <w:bCs/>
        </w:rPr>
        <w:footnoteReference w:id="4"/>
      </w:r>
    </w:p>
    <w:p w14:paraId="768A9E36" w14:textId="02D14A31" w:rsidR="006D08B1" w:rsidRDefault="002F49D8" w:rsidP="00185369">
      <w:pPr>
        <w:pStyle w:val="CORPOHOMERO"/>
      </w:pPr>
      <w:r>
        <w:t xml:space="preserve">Em julgado recente, </w:t>
      </w:r>
      <w:r w:rsidR="00DC1663">
        <w:t xml:space="preserve">a </w:t>
      </w:r>
      <w:r w:rsidR="00DC1663" w:rsidRPr="00DC1663">
        <w:t>Ministra Maria Isabel Gallotti</w:t>
      </w:r>
      <w:r w:rsidR="00DC1663">
        <w:t xml:space="preserve"> muito bem sintetizou o </w:t>
      </w:r>
      <w:r w:rsidR="007A3267">
        <w:t>que Superior Tribunal de Justiça entende sobre o assunto. Veja-se</w:t>
      </w:r>
      <w:r>
        <w:t xml:space="preserve">: </w:t>
      </w:r>
    </w:p>
    <w:p w14:paraId="4A8979CF" w14:textId="77777777" w:rsidR="002F49D8" w:rsidRPr="007A3267" w:rsidRDefault="002F49D8" w:rsidP="00DC1663">
      <w:pPr>
        <w:pStyle w:val="CORPOHOMERO"/>
        <w:ind w:left="1134" w:firstLine="0"/>
        <w:rPr>
          <w:b/>
          <w:bCs/>
          <w:sz w:val="19"/>
          <w:szCs w:val="18"/>
        </w:rPr>
      </w:pPr>
      <w:r w:rsidRPr="00DC1663">
        <w:rPr>
          <w:sz w:val="19"/>
          <w:szCs w:val="18"/>
        </w:rPr>
        <w:t xml:space="preserve">3. Prevaleceu o entendimento de que a </w:t>
      </w:r>
      <w:r w:rsidRPr="007A3267">
        <w:rPr>
          <w:sz w:val="19"/>
          <w:szCs w:val="18"/>
          <w:u w:val="single"/>
        </w:rPr>
        <w:t>taxa média de mercado apurada pelo Banco Central para cada segmento de crédito é referencial útil para o controle da abusividade</w:t>
      </w:r>
      <w:r w:rsidRPr="00DC1663">
        <w:rPr>
          <w:sz w:val="19"/>
          <w:szCs w:val="18"/>
        </w:rPr>
        <w:t xml:space="preserve">, mas o simples fato de a taxa efetiva cobrada no contrato estar acima da taxa média de mercado não significa, por si só, abuso. Ao contrário, a média de mercado não pode ser considerada o limite, justamente porque é média; incorpora as menores e maiores taxas praticadas pelo mercado, em operações de diferentes níveis de risco. </w:t>
      </w:r>
      <w:r w:rsidRPr="007A3267">
        <w:rPr>
          <w:b/>
          <w:bCs/>
          <w:sz w:val="19"/>
          <w:szCs w:val="18"/>
        </w:rPr>
        <w:t>Foi expressamente rejeitada a possibilidade de o Poder Judiciário estabelecer aprioristicamente um teto para taxa de juros, adotando como parâmetro máximo o dobro ou qualquer outro percentual em relação à taxa média.</w:t>
      </w:r>
    </w:p>
    <w:p w14:paraId="1096E0BA" w14:textId="22A566F4" w:rsidR="002F49D8" w:rsidRPr="00DC1663" w:rsidRDefault="002F49D8" w:rsidP="00DC1663">
      <w:pPr>
        <w:pStyle w:val="CORPOHOMERO"/>
        <w:ind w:left="1134" w:firstLine="0"/>
        <w:rPr>
          <w:sz w:val="19"/>
          <w:szCs w:val="18"/>
        </w:rPr>
      </w:pPr>
      <w:r w:rsidRPr="00DC1663">
        <w:rPr>
          <w:sz w:val="19"/>
          <w:szCs w:val="18"/>
        </w:rPr>
        <w:t xml:space="preserve">4. O </w:t>
      </w:r>
      <w:r w:rsidRPr="007A3267">
        <w:rPr>
          <w:b/>
          <w:bCs/>
          <w:sz w:val="19"/>
          <w:szCs w:val="18"/>
        </w:rPr>
        <w:t>caráter abusivo da taxa de juros contratada haverá de ser demonstrado de acordo com as peculiaridades de cada caso concreto</w:t>
      </w:r>
      <w:r w:rsidRPr="00DC1663">
        <w:rPr>
          <w:sz w:val="19"/>
          <w:szCs w:val="18"/>
        </w:rPr>
        <w:t>, levando-se em consideração circunstâncias como o custo da captação dos recursos no local e época do contrato; o valor e o prazo do financiamento; as fontes de renda do cliente; as garantias ofertadas; a existência de prévio relacionamento do cliente com a instituição financeira; análise do perfil de risco de crédito do tomador; a forma de pagamento da operação, entre outros aspectos.</w:t>
      </w:r>
      <w:r w:rsidR="007A3267">
        <w:rPr>
          <w:sz w:val="19"/>
          <w:szCs w:val="18"/>
        </w:rPr>
        <w:t xml:space="preserve"> [...] </w:t>
      </w:r>
      <w:r w:rsidRPr="00DC1663">
        <w:rPr>
          <w:sz w:val="19"/>
          <w:szCs w:val="18"/>
        </w:rPr>
        <w:t>(REsp n. 1.821.182/RS, relatora Ministra Maria Isabel Gallotti, Quarta Turma, julgado em 23/6/2022, DJe de 29/6/2022.)</w:t>
      </w:r>
      <w:r w:rsidR="009C15AA" w:rsidRPr="009C15AA">
        <w:rPr>
          <w:rStyle w:val="Refdenotaderodap"/>
        </w:rPr>
        <w:t xml:space="preserve"> </w:t>
      </w:r>
      <w:r w:rsidR="009C15AA" w:rsidRPr="00B77AE7">
        <w:rPr>
          <w:rStyle w:val="Refdenotaderodap"/>
        </w:rPr>
        <w:footnoteReference w:id="5"/>
      </w:r>
    </w:p>
    <w:p w14:paraId="4EAF278A" w14:textId="6E5D3F8E" w:rsidR="004D55AF" w:rsidRDefault="001D7F83" w:rsidP="0069062A">
      <w:pPr>
        <w:pStyle w:val="CORPOHOMERO"/>
      </w:pPr>
      <w:r>
        <w:t>Então</w:t>
      </w:r>
      <w:r w:rsidR="00C34F01">
        <w:t xml:space="preserve">, é imperiosa a atenção para esse argumento falacioso dos bancos de que a abusividade somente ocorrerá quando houver excesso de 150% ou uma vez e meia. E </w:t>
      </w:r>
      <w:r>
        <w:t>como será demonstrado a seguir, merecem ser revistos os contratos bancários objeto desta demanda, porque fixaram uma desvantagem ex</w:t>
      </w:r>
      <w:r w:rsidR="009B0970">
        <w:t>agerada para a parte demandante.</w:t>
      </w:r>
      <w:r w:rsidR="00FA2F3B">
        <w:t xml:space="preserve"> </w:t>
      </w:r>
    </w:p>
    <w:p w14:paraId="1FF754ED" w14:textId="77777777" w:rsidR="004D55AF" w:rsidRDefault="004D55AF" w:rsidP="0069062A">
      <w:pPr>
        <w:pStyle w:val="CORPOHOMERO"/>
      </w:pPr>
    </w:p>
    <w:p w14:paraId="0D2A9963" w14:textId="4DA08F4C" w:rsidR="009B0970" w:rsidRPr="00BB3951" w:rsidRDefault="009B0970" w:rsidP="009B097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Pr="00BB3951">
        <w:rPr>
          <w:rFonts w:asciiTheme="minorHAnsi" w:hAnsiTheme="minorHAnsi" w:cstheme="minorHAnsi"/>
          <w:b/>
          <w:sz w:val="24"/>
          <w:szCs w:val="24"/>
          <w:u w:val="single"/>
        </w:rPr>
        <w:t xml:space="preserve">. 2. </w:t>
      </w:r>
      <w:r w:rsidR="0048725E">
        <w:rPr>
          <w:rFonts w:asciiTheme="minorHAnsi" w:hAnsiTheme="minorHAnsi" w:cstheme="minorHAnsi"/>
          <w:b/>
          <w:sz w:val="24"/>
          <w:szCs w:val="24"/>
          <w:u w:val="single"/>
        </w:rPr>
        <w:t xml:space="preserve">a. Juros abusivos no contrato n. </w:t>
      </w:r>
      <w:r w:rsidR="0048725E" w:rsidRPr="0048725E">
        <w:rPr>
          <w:rFonts w:asciiTheme="minorHAnsi" w:hAnsiTheme="minorHAnsi" w:cstheme="minorHAnsi"/>
          <w:b/>
          <w:sz w:val="24"/>
          <w:szCs w:val="24"/>
          <w:u w:val="single"/>
        </w:rPr>
        <w:t>050780007580</w:t>
      </w:r>
    </w:p>
    <w:p w14:paraId="095A0CB6" w14:textId="77777777" w:rsidR="009B0970" w:rsidRDefault="009B0970" w:rsidP="009B0970">
      <w:pPr>
        <w:tabs>
          <w:tab w:val="left" w:pos="2160"/>
        </w:tabs>
        <w:spacing w:after="0" w:line="360" w:lineRule="auto"/>
        <w:ind w:firstLine="1985"/>
        <w:jc w:val="both"/>
        <w:rPr>
          <w:rFonts w:asciiTheme="minorHAnsi" w:hAnsiTheme="minorHAnsi" w:cstheme="minorHAnsi"/>
          <w:sz w:val="24"/>
          <w:szCs w:val="24"/>
        </w:rPr>
      </w:pPr>
    </w:p>
    <w:p w14:paraId="159D4BE5" w14:textId="13E7741B" w:rsidR="0032503F" w:rsidRPr="00B77AE7" w:rsidRDefault="0032503F" w:rsidP="0032503F">
      <w:pPr>
        <w:pStyle w:val="CORPOHOMERO"/>
      </w:pPr>
      <w:r w:rsidRPr="00B77AE7">
        <w:t xml:space="preserve">No </w:t>
      </w:r>
      <w:r w:rsidRPr="00B77AE7">
        <w:rPr>
          <w:b/>
          <w:bCs/>
        </w:rPr>
        <w:t>contrato em análise</w:t>
      </w:r>
      <w:r w:rsidRPr="00B77AE7">
        <w:t>, os juros remuneratórios para o período da normalidade estão previstos n</w:t>
      </w:r>
      <w:r w:rsidR="00D24DD2">
        <w:t>o ANEXO 2</w:t>
      </w:r>
      <w:r w:rsidR="002C1CF2">
        <w:t xml:space="preserve"> – DEMONSTRATIVO DO CUSTO EFETIVO TOTAL</w:t>
      </w:r>
      <w:r w:rsidRPr="00B77AE7">
        <w:t xml:space="preserve">, isto é, </w:t>
      </w:r>
      <w:r w:rsidRPr="00B77AE7">
        <w:rPr>
          <w:b/>
          <w:bCs/>
        </w:rPr>
        <w:t xml:space="preserve">foi fixada a taxa </w:t>
      </w:r>
      <w:r w:rsidRPr="00B77AE7">
        <w:rPr>
          <w:b/>
          <w:bCs/>
          <w:u w:val="single"/>
        </w:rPr>
        <w:t>nominal</w:t>
      </w:r>
      <w:r w:rsidRPr="00B77AE7">
        <w:rPr>
          <w:b/>
          <w:bCs/>
        </w:rPr>
        <w:t xml:space="preserve"> mensal de </w:t>
      </w:r>
      <w:r w:rsidR="002C1CF2">
        <w:rPr>
          <w:b/>
          <w:bCs/>
          <w:color w:val="FF0000"/>
        </w:rPr>
        <w:t>22,00</w:t>
      </w:r>
      <w:r w:rsidRPr="00B77AE7">
        <w:rPr>
          <w:b/>
          <w:bCs/>
        </w:rPr>
        <w:t xml:space="preserve">% e anual de </w:t>
      </w:r>
      <w:r w:rsidR="002C1CF2">
        <w:rPr>
          <w:b/>
          <w:bCs/>
          <w:color w:val="FF0000"/>
        </w:rPr>
        <w:t>987,22</w:t>
      </w:r>
      <w:r w:rsidRPr="00B77AE7">
        <w:rPr>
          <w:b/>
          <w:bCs/>
        </w:rPr>
        <w:t>%</w:t>
      </w:r>
      <w:r w:rsidRPr="00B77AE7">
        <w:t>.</w:t>
      </w:r>
    </w:p>
    <w:p w14:paraId="0F4C5A7D" w14:textId="087E4C92" w:rsidR="0032503F" w:rsidRDefault="0032503F" w:rsidP="00EE01B2">
      <w:pPr>
        <w:pStyle w:val="CORPOHOMERO"/>
        <w:rPr>
          <w:rFonts w:asciiTheme="minorHAnsi" w:hAnsiTheme="minorHAnsi" w:cstheme="minorHAnsi"/>
          <w:sz w:val="24"/>
          <w:szCs w:val="24"/>
        </w:rPr>
      </w:pPr>
      <w:r w:rsidRPr="00B77AE7">
        <w:t>Os juros cobrados no contrato são manifestamente abusivos</w:t>
      </w:r>
      <w:r w:rsidR="00306AEB">
        <w:t xml:space="preserve"> quando comparados com </w:t>
      </w:r>
      <w:r w:rsidRPr="00B77AE7">
        <w:t>a média de mercado divulgada pelo Banco Central do Brasil. No segmento do contrato aqui debatido (</w:t>
      </w:r>
      <w:r w:rsidRPr="00B77AE7">
        <w:rPr>
          <w:b/>
          <w:bCs/>
        </w:rPr>
        <w:t xml:space="preserve">Taxa média mensal de juros - </w:t>
      </w:r>
      <w:r w:rsidRPr="00B77AE7">
        <w:rPr>
          <w:b/>
          <w:bCs/>
          <w:color w:val="FF0000"/>
        </w:rPr>
        <w:t xml:space="preserve">Pessoas físicas </w:t>
      </w:r>
      <w:r w:rsidRPr="00B77AE7">
        <w:rPr>
          <w:b/>
          <w:bCs/>
        </w:rPr>
        <w:t xml:space="preserve">- </w:t>
      </w:r>
      <w:r w:rsidRPr="00B77AE7">
        <w:rPr>
          <w:b/>
          <w:bCs/>
          <w:color w:val="FF0000"/>
        </w:rPr>
        <w:t>Crédito pessoal não consignado – Código 25464</w:t>
      </w:r>
      <w:r w:rsidRPr="00B77AE7">
        <w:rPr>
          <w:b/>
          <w:bCs/>
        </w:rPr>
        <w:t xml:space="preserve">), </w:t>
      </w:r>
      <w:r w:rsidRPr="00B77AE7">
        <w:t xml:space="preserve">no mês de </w:t>
      </w:r>
      <w:r w:rsidR="00E271DD">
        <w:rPr>
          <w:color w:val="FF0000"/>
          <w:u w:val="single"/>
        </w:rPr>
        <w:t>dezembro</w:t>
      </w:r>
      <w:r w:rsidRPr="00B77AE7">
        <w:rPr>
          <w:color w:val="FF0000"/>
          <w:u w:val="single"/>
        </w:rPr>
        <w:t xml:space="preserve"> de </w:t>
      </w:r>
      <w:r w:rsidR="00E271DD">
        <w:rPr>
          <w:color w:val="FF0000"/>
          <w:u w:val="single"/>
        </w:rPr>
        <w:t>2020</w:t>
      </w:r>
      <w:r w:rsidRPr="00B77AE7">
        <w:t xml:space="preserve">, a </w:t>
      </w:r>
      <w:r w:rsidRPr="00B77AE7">
        <w:rPr>
          <w:b/>
          <w:bCs/>
        </w:rPr>
        <w:t xml:space="preserve">taxa média de mercado </w:t>
      </w:r>
      <w:r w:rsidRPr="00B77AE7">
        <w:t xml:space="preserve">divulgada pelo Banco Central do Brasil foi de: </w:t>
      </w:r>
      <w:r w:rsidRPr="00B77AE7">
        <w:rPr>
          <w:color w:val="FF0000"/>
          <w:u w:val="single"/>
        </w:rPr>
        <w:t>4,</w:t>
      </w:r>
      <w:r w:rsidR="00E271DD">
        <w:rPr>
          <w:color w:val="FF0000"/>
          <w:u w:val="single"/>
        </w:rPr>
        <w:t>69</w:t>
      </w:r>
      <w:r w:rsidRPr="00B77AE7">
        <w:rPr>
          <w:u w:val="single"/>
        </w:rPr>
        <w:t xml:space="preserve">% ao mês e </w:t>
      </w:r>
      <w:r w:rsidR="00907CE7">
        <w:rPr>
          <w:color w:val="FF0000"/>
          <w:u w:val="single"/>
        </w:rPr>
        <w:t>73,25</w:t>
      </w:r>
      <w:r w:rsidRPr="00B77AE7">
        <w:rPr>
          <w:u w:val="single"/>
        </w:rPr>
        <w:t>% ao ano</w:t>
      </w:r>
      <w:r w:rsidRPr="00B77AE7">
        <w:t>.</w:t>
      </w:r>
      <w:r w:rsidRPr="00B77AE7">
        <w:rPr>
          <w:rStyle w:val="Refdenotaderodap"/>
          <w:rFonts w:asciiTheme="minorHAnsi" w:hAnsiTheme="minorHAnsi" w:cstheme="minorHAnsi"/>
          <w:sz w:val="24"/>
          <w:szCs w:val="24"/>
        </w:rPr>
        <w:t xml:space="preserve"> </w:t>
      </w:r>
      <w:r w:rsidRPr="00B77AE7">
        <w:rPr>
          <w:rStyle w:val="Refdenotaderodap"/>
          <w:rFonts w:asciiTheme="minorHAnsi" w:hAnsiTheme="minorHAnsi" w:cstheme="minorHAnsi"/>
          <w:sz w:val="24"/>
          <w:szCs w:val="24"/>
        </w:rPr>
        <w:footnoteReference w:id="6"/>
      </w:r>
    </w:p>
    <w:p w14:paraId="34169ED6" w14:textId="7D9274BE" w:rsidR="00EE01B2" w:rsidRDefault="00EE01B2" w:rsidP="00EE01B2">
      <w:pPr>
        <w:pStyle w:val="CORPOHOMERO"/>
        <w:rPr>
          <w:rFonts w:asciiTheme="minorHAnsi" w:hAnsiTheme="minorHAnsi" w:cstheme="minorHAnsi"/>
          <w:sz w:val="24"/>
          <w:szCs w:val="24"/>
        </w:rPr>
      </w:pPr>
      <w:r>
        <w:rPr>
          <w:rFonts w:asciiTheme="minorHAnsi" w:hAnsiTheme="minorHAnsi" w:cstheme="minorHAnsi"/>
          <w:sz w:val="24"/>
          <w:szCs w:val="24"/>
        </w:rPr>
        <w:t>Comparativamente, temos o seguinte quadro:</w:t>
      </w:r>
    </w:p>
    <w:tbl>
      <w:tblPr>
        <w:tblStyle w:val="Tabelacomgrade"/>
        <w:tblW w:w="0" w:type="auto"/>
        <w:jc w:val="center"/>
        <w:tblLook w:val="04A0" w:firstRow="1" w:lastRow="0" w:firstColumn="1" w:lastColumn="0" w:noHBand="0" w:noVBand="1"/>
      </w:tblPr>
      <w:tblGrid>
        <w:gridCol w:w="3020"/>
        <w:gridCol w:w="3020"/>
      </w:tblGrid>
      <w:tr w:rsidR="00FE117E" w:rsidRPr="00FE117E" w14:paraId="46652092" w14:textId="77777777" w:rsidTr="00FE117E">
        <w:trPr>
          <w:jc w:val="center"/>
        </w:trPr>
        <w:tc>
          <w:tcPr>
            <w:tcW w:w="3020" w:type="dxa"/>
            <w:shd w:val="clear" w:color="auto" w:fill="595959" w:themeFill="text1" w:themeFillTint="A6"/>
          </w:tcPr>
          <w:p w14:paraId="5C8B20C8" w14:textId="077C84DA" w:rsidR="00E7746A" w:rsidRPr="00FE117E" w:rsidRDefault="009205AA" w:rsidP="00B52FF3">
            <w:pPr>
              <w:pStyle w:val="CORPOHOMERO"/>
              <w:spacing w:line="240" w:lineRule="auto"/>
              <w:ind w:firstLine="0"/>
              <w:jc w:val="center"/>
              <w:rPr>
                <w:b/>
                <w:bCs/>
                <w:color w:val="FFFFFF" w:themeColor="background1"/>
              </w:rPr>
            </w:pPr>
            <w:r w:rsidRPr="00FE117E">
              <w:rPr>
                <w:b/>
                <w:bCs/>
                <w:color w:val="FFFFFF" w:themeColor="background1"/>
              </w:rPr>
              <w:t>I</w:t>
            </w:r>
            <w:r w:rsidR="00E7746A" w:rsidRPr="00FE117E">
              <w:rPr>
                <w:b/>
                <w:bCs/>
                <w:color w:val="FFFFFF" w:themeColor="background1"/>
              </w:rPr>
              <w:t>tem</w:t>
            </w:r>
          </w:p>
        </w:tc>
        <w:tc>
          <w:tcPr>
            <w:tcW w:w="3020" w:type="dxa"/>
            <w:shd w:val="clear" w:color="auto" w:fill="595959" w:themeFill="text1" w:themeFillTint="A6"/>
          </w:tcPr>
          <w:p w14:paraId="6075891F" w14:textId="67D9FCBE" w:rsidR="00E7746A" w:rsidRPr="00FE117E" w:rsidRDefault="00E7746A" w:rsidP="00B52FF3">
            <w:pPr>
              <w:pStyle w:val="CORPOHOMERO"/>
              <w:spacing w:line="240" w:lineRule="auto"/>
              <w:ind w:firstLine="0"/>
              <w:jc w:val="center"/>
              <w:rPr>
                <w:b/>
                <w:bCs/>
                <w:color w:val="FFFFFF" w:themeColor="background1"/>
              </w:rPr>
            </w:pPr>
            <w:r w:rsidRPr="00FE117E">
              <w:rPr>
                <w:b/>
                <w:bCs/>
                <w:color w:val="FFFFFF" w:themeColor="background1"/>
              </w:rPr>
              <w:t>Taxa ao mês</w:t>
            </w:r>
          </w:p>
        </w:tc>
      </w:tr>
      <w:tr w:rsidR="00E7746A" w14:paraId="66C8154B" w14:textId="77777777" w:rsidTr="00FE117E">
        <w:trPr>
          <w:jc w:val="center"/>
        </w:trPr>
        <w:tc>
          <w:tcPr>
            <w:tcW w:w="3020" w:type="dxa"/>
            <w:shd w:val="clear" w:color="auto" w:fill="FABF8F" w:themeFill="accent6" w:themeFillTint="99"/>
          </w:tcPr>
          <w:p w14:paraId="309F4D51" w14:textId="2CCC4CC0" w:rsidR="00E7746A" w:rsidRDefault="00E7746A" w:rsidP="00B52FF3">
            <w:pPr>
              <w:pStyle w:val="CORPOHOMERO"/>
              <w:spacing w:line="240" w:lineRule="auto"/>
              <w:ind w:firstLine="0"/>
            </w:pPr>
            <w:r>
              <w:t>Diferença entre as taxas</w:t>
            </w:r>
          </w:p>
        </w:tc>
        <w:tc>
          <w:tcPr>
            <w:tcW w:w="3020" w:type="dxa"/>
            <w:shd w:val="clear" w:color="auto" w:fill="FABF8F" w:themeFill="accent6" w:themeFillTint="99"/>
          </w:tcPr>
          <w:p w14:paraId="6A65F2D1" w14:textId="56D086AD" w:rsidR="00E7746A" w:rsidRDefault="00E7746A" w:rsidP="00B52FF3">
            <w:pPr>
              <w:pStyle w:val="CORPOHOMERO"/>
              <w:spacing w:line="240" w:lineRule="auto"/>
              <w:ind w:firstLine="0"/>
              <w:jc w:val="center"/>
            </w:pPr>
            <w:r>
              <w:t>22,00% - 4,69% = 17,31%</w:t>
            </w:r>
          </w:p>
        </w:tc>
      </w:tr>
      <w:tr w:rsidR="00E7746A" w14:paraId="58894391" w14:textId="77777777" w:rsidTr="00673B23">
        <w:trPr>
          <w:jc w:val="center"/>
        </w:trPr>
        <w:tc>
          <w:tcPr>
            <w:tcW w:w="3020" w:type="dxa"/>
            <w:shd w:val="clear" w:color="auto" w:fill="FABF8F" w:themeFill="accent6" w:themeFillTint="99"/>
          </w:tcPr>
          <w:p w14:paraId="56452B2D" w14:textId="6F54532D" w:rsidR="00E7746A" w:rsidRDefault="00E7746A" w:rsidP="00B52FF3">
            <w:pPr>
              <w:pStyle w:val="CORPOHOMERO"/>
              <w:spacing w:line="240" w:lineRule="auto"/>
              <w:ind w:firstLine="0"/>
            </w:pPr>
            <w:r>
              <w:t>Proporção do excesso</w:t>
            </w:r>
            <w:r w:rsidR="00A02C68" w:rsidRPr="00B77AE7">
              <w:rPr>
                <w:rStyle w:val="Refdenotaderodap"/>
                <w:rFonts w:asciiTheme="minorHAnsi" w:hAnsiTheme="minorHAnsi" w:cstheme="minorHAnsi"/>
                <w:sz w:val="24"/>
                <w:szCs w:val="24"/>
              </w:rPr>
              <w:footnoteReference w:id="7"/>
            </w:r>
          </w:p>
        </w:tc>
        <w:tc>
          <w:tcPr>
            <w:tcW w:w="3020" w:type="dxa"/>
            <w:shd w:val="clear" w:color="auto" w:fill="FABF8F" w:themeFill="accent6" w:themeFillTint="99"/>
          </w:tcPr>
          <w:p w14:paraId="369640C7" w14:textId="4F8E01F2" w:rsidR="00E7746A" w:rsidRDefault="00E7746A" w:rsidP="00B52FF3">
            <w:pPr>
              <w:pStyle w:val="CORPOHOMERO"/>
              <w:spacing w:line="240" w:lineRule="auto"/>
              <w:ind w:firstLine="0"/>
              <w:jc w:val="center"/>
            </w:pPr>
            <w:r>
              <w:t>369,08% de excesso</w:t>
            </w:r>
          </w:p>
        </w:tc>
      </w:tr>
    </w:tbl>
    <w:p w14:paraId="6666F8AD" w14:textId="77777777" w:rsidR="00EE01B2" w:rsidRPr="00EE01B2" w:rsidRDefault="00EE01B2" w:rsidP="00EE01B2">
      <w:pPr>
        <w:pStyle w:val="CORPOHOMERO"/>
        <w:ind w:firstLine="0"/>
      </w:pPr>
    </w:p>
    <w:p w14:paraId="275B15C0" w14:textId="6466C86D" w:rsidR="0032503F" w:rsidRPr="00B77AE7" w:rsidRDefault="0032503F" w:rsidP="0032503F">
      <w:pPr>
        <w:pStyle w:val="CORPOHOMERO"/>
      </w:pPr>
      <w:r w:rsidRPr="00B77AE7">
        <w:t xml:space="preserve">Em termos pecuniários a situação é ainda mais absurda, porque </w:t>
      </w:r>
      <w:r w:rsidRPr="008028A2">
        <w:rPr>
          <w:u w:val="single"/>
        </w:rPr>
        <w:t xml:space="preserve">a parte demandante pagará ao final do contrato um valor a maior de R$ </w:t>
      </w:r>
      <w:r w:rsidR="008028A2" w:rsidRPr="008028A2">
        <w:rPr>
          <w:u w:val="single"/>
        </w:rPr>
        <w:t>731,72</w:t>
      </w:r>
      <w:r>
        <w:t>. Não só isso! O lucro bancário depois da revisão será praticamente igual ao valor que foi liberado à parte demandante</w:t>
      </w:r>
      <w:r w:rsidRPr="00B77AE7">
        <w:t>, como bem demonstrado na planilha a seguir:</w:t>
      </w:r>
    </w:p>
    <w:p w14:paraId="6C5E33D9" w14:textId="440E2ACE" w:rsidR="0032503F" w:rsidRPr="00B77AE7" w:rsidRDefault="00A84250" w:rsidP="00F164BC">
      <w:pPr>
        <w:pStyle w:val="CORPOHOMERO"/>
        <w:ind w:firstLine="0"/>
        <w:jc w:val="center"/>
      </w:pPr>
      <w:r>
        <w:rPr>
          <w:noProof/>
        </w:rPr>
        <w:drawing>
          <wp:inline distT="0" distB="0" distL="0" distR="0" wp14:anchorId="6E8CF966" wp14:editId="2EF920C0">
            <wp:extent cx="4052897" cy="3370638"/>
            <wp:effectExtent l="0" t="0" r="508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7400" cy="3382700"/>
                    </a:xfrm>
                    <a:prstGeom prst="rect">
                      <a:avLst/>
                    </a:prstGeom>
                  </pic:spPr>
                </pic:pic>
              </a:graphicData>
            </a:graphic>
          </wp:inline>
        </w:drawing>
      </w:r>
    </w:p>
    <w:p w14:paraId="74F80883" w14:textId="77777777" w:rsidR="0032503F" w:rsidRDefault="0032503F" w:rsidP="0032503F">
      <w:pPr>
        <w:pStyle w:val="CORPOHOMERO"/>
      </w:pPr>
      <w:r w:rsidRPr="00B77AE7">
        <w:t>Essa abissal diferença é a grande prova da violação dos princípios bases da política nacional da relação de consumo por parte da Demandada, em especial a boa-fé objetiva e o equilíbrio na relação entre consumidores e fornecedores (art. 4º, III, CDC).</w:t>
      </w:r>
    </w:p>
    <w:p w14:paraId="2FE4502A" w14:textId="2425AD49" w:rsidR="00691ED9" w:rsidRPr="00B77AE7" w:rsidRDefault="00691ED9" w:rsidP="0032503F">
      <w:pPr>
        <w:pStyle w:val="CORPOHOMERO"/>
      </w:pPr>
      <w:r>
        <w:t xml:space="preserve">Com relação ao </w:t>
      </w:r>
      <w:r w:rsidRPr="00691ED9">
        <w:t>custo da captação dos recursos no local e época do contrato; o valor e o prazo do financiamento; análise do perfil de risco de crédito do tomador; a forma de pagamento da operação, entre outros aspectos</w:t>
      </w:r>
      <w:r w:rsidR="00883CD7">
        <w:t xml:space="preserve">, </w:t>
      </w:r>
      <w:r w:rsidR="00DA40F7">
        <w:t>é impossível ao demandante fazer essa prova, porque são informações que estão no domínio exclusivo da parte demandada. Assim, ela que deverá apresentar prova disso, conforme tópico da inversão do ônus probatório</w:t>
      </w:r>
      <w:r w:rsidRPr="00691ED9">
        <w:t>.</w:t>
      </w:r>
    </w:p>
    <w:p w14:paraId="24D7A61E" w14:textId="4A53DA55" w:rsidR="0032503F" w:rsidRDefault="0032503F" w:rsidP="0032503F">
      <w:pPr>
        <w:pStyle w:val="CORPOHOMERO"/>
      </w:pPr>
      <w:r w:rsidRPr="00B77AE7">
        <w:t>Dessa forma, na forma do §1º do art. 51 do CDC</w:t>
      </w:r>
      <w:r w:rsidR="00B52FF3">
        <w:t>, d</w:t>
      </w:r>
      <w:r w:rsidR="00CC668B">
        <w:t>eve ser</w:t>
      </w:r>
      <w:r w:rsidRPr="00B77AE7">
        <w:rPr>
          <w:b/>
          <w:bCs/>
        </w:rPr>
        <w:t xml:space="preserve"> declara</w:t>
      </w:r>
      <w:r w:rsidR="00CC668B">
        <w:rPr>
          <w:b/>
          <w:bCs/>
        </w:rPr>
        <w:t>da</w:t>
      </w:r>
      <w:r w:rsidRPr="00B77AE7">
        <w:rPr>
          <w:b/>
          <w:bCs/>
        </w:rPr>
        <w:t xml:space="preserve"> a abusividade da </w:t>
      </w:r>
      <w:r w:rsidR="00535B82">
        <w:rPr>
          <w:b/>
          <w:bCs/>
        </w:rPr>
        <w:t xml:space="preserve">taxa de juros remuneratórios constante do </w:t>
      </w:r>
      <w:r w:rsidR="00CC668B">
        <w:t>ANEXO 2 – DEMONSTRATIVO DO CUSTO EFETIVO TOTAL</w:t>
      </w:r>
      <w:r w:rsidR="00535B82">
        <w:t xml:space="preserve"> (</w:t>
      </w:r>
      <w:r w:rsidR="00CC668B" w:rsidRPr="00B77AE7">
        <w:rPr>
          <w:b/>
          <w:bCs/>
        </w:rPr>
        <w:t xml:space="preserve">a taxa </w:t>
      </w:r>
      <w:r w:rsidR="00CC668B" w:rsidRPr="00B77AE7">
        <w:rPr>
          <w:b/>
          <w:bCs/>
          <w:u w:val="single"/>
        </w:rPr>
        <w:t>nominal</w:t>
      </w:r>
      <w:r w:rsidR="00CC668B" w:rsidRPr="00B77AE7">
        <w:rPr>
          <w:b/>
          <w:bCs/>
        </w:rPr>
        <w:t xml:space="preserve"> mensal de </w:t>
      </w:r>
      <w:r w:rsidR="00CC668B">
        <w:rPr>
          <w:b/>
          <w:bCs/>
          <w:color w:val="FF0000"/>
        </w:rPr>
        <w:t>22,00</w:t>
      </w:r>
      <w:r w:rsidR="00CC668B" w:rsidRPr="00B77AE7">
        <w:rPr>
          <w:b/>
          <w:bCs/>
        </w:rPr>
        <w:t xml:space="preserve">% e anual de </w:t>
      </w:r>
      <w:r w:rsidR="00CC668B">
        <w:rPr>
          <w:b/>
          <w:bCs/>
          <w:color w:val="FF0000"/>
        </w:rPr>
        <w:t>987,22</w:t>
      </w:r>
      <w:r w:rsidR="00CC668B" w:rsidRPr="00B77AE7">
        <w:rPr>
          <w:b/>
          <w:bCs/>
        </w:rPr>
        <w:t>%</w:t>
      </w:r>
      <w:r w:rsidR="00535B82">
        <w:t xml:space="preserve">), </w:t>
      </w:r>
      <w:r w:rsidRPr="00B77AE7">
        <w:t xml:space="preserve">determinando-se a redução da taxa de juros remuneratórios do contrato para a média de mercado, qual seja, </w:t>
      </w:r>
      <w:r w:rsidR="00535B82" w:rsidRPr="00535B82">
        <w:rPr>
          <w:color w:val="FF0000"/>
          <w:u w:val="single"/>
        </w:rPr>
        <w:t>4,69% ao mês e 73,25% ao ano</w:t>
      </w:r>
      <w:r w:rsidR="00535B82">
        <w:rPr>
          <w:color w:val="FF0000"/>
          <w:u w:val="single"/>
        </w:rPr>
        <w:t>.</w:t>
      </w:r>
    </w:p>
    <w:p w14:paraId="40C4AB5E" w14:textId="77777777" w:rsidR="0032503F" w:rsidRPr="00BB3951" w:rsidRDefault="0032503F" w:rsidP="009B0970">
      <w:pPr>
        <w:tabs>
          <w:tab w:val="left" w:pos="2160"/>
        </w:tabs>
        <w:spacing w:after="0" w:line="360" w:lineRule="auto"/>
        <w:ind w:firstLine="1985"/>
        <w:jc w:val="both"/>
        <w:rPr>
          <w:rFonts w:asciiTheme="minorHAnsi" w:hAnsiTheme="minorHAnsi" w:cstheme="minorHAnsi"/>
          <w:sz w:val="24"/>
          <w:szCs w:val="24"/>
        </w:rPr>
      </w:pPr>
    </w:p>
    <w:p w14:paraId="781D879A" w14:textId="1D947036" w:rsidR="0032503F" w:rsidRPr="00BB3951" w:rsidRDefault="0032503F" w:rsidP="0032503F">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Pr="00BB3951">
        <w:rPr>
          <w:rFonts w:asciiTheme="minorHAnsi" w:hAnsiTheme="minorHAnsi" w:cstheme="minorHAnsi"/>
          <w:b/>
          <w:sz w:val="24"/>
          <w:szCs w:val="24"/>
          <w:u w:val="single"/>
        </w:rPr>
        <w:t xml:space="preserve">. 2. </w:t>
      </w:r>
      <w:r>
        <w:rPr>
          <w:rFonts w:asciiTheme="minorHAnsi" w:hAnsiTheme="minorHAnsi" w:cstheme="minorHAnsi"/>
          <w:b/>
          <w:sz w:val="24"/>
          <w:szCs w:val="24"/>
          <w:u w:val="single"/>
        </w:rPr>
        <w:t xml:space="preserve">b. Juros abusivos no contrato n. </w:t>
      </w:r>
      <w:r w:rsidRPr="0032503F">
        <w:rPr>
          <w:rFonts w:asciiTheme="minorHAnsi" w:hAnsiTheme="minorHAnsi" w:cstheme="minorHAnsi"/>
          <w:b/>
          <w:sz w:val="24"/>
          <w:szCs w:val="24"/>
          <w:u w:val="single"/>
        </w:rPr>
        <w:t>050780010825</w:t>
      </w:r>
    </w:p>
    <w:p w14:paraId="516B84A0" w14:textId="77777777" w:rsidR="00B52FF3" w:rsidRPr="00B77AE7" w:rsidRDefault="00B52FF3" w:rsidP="00B52FF3">
      <w:pPr>
        <w:pStyle w:val="CORPOHOMERO"/>
      </w:pPr>
      <w:r w:rsidRPr="00B77AE7">
        <w:t xml:space="preserve">No </w:t>
      </w:r>
      <w:r w:rsidRPr="00B77AE7">
        <w:rPr>
          <w:b/>
          <w:bCs/>
        </w:rPr>
        <w:t>contrato em análise</w:t>
      </w:r>
      <w:r w:rsidRPr="00B77AE7">
        <w:t>, os juros remuneratórios para o período da normalidade estão previstos n</w:t>
      </w:r>
      <w:r>
        <w:t>o ANEXO 2 – DEMONSTRATIVO DO CUSTO EFETIVO TOTAL</w:t>
      </w:r>
      <w:r w:rsidRPr="00B77AE7">
        <w:t xml:space="preserve">, isto é, </w:t>
      </w:r>
      <w:r w:rsidRPr="00B77AE7">
        <w:rPr>
          <w:b/>
          <w:bCs/>
        </w:rPr>
        <w:t xml:space="preserve">foi fixada a taxa </w:t>
      </w:r>
      <w:r w:rsidRPr="00B77AE7">
        <w:rPr>
          <w:b/>
          <w:bCs/>
          <w:u w:val="single"/>
        </w:rPr>
        <w:t>nominal</w:t>
      </w:r>
      <w:r w:rsidRPr="00B77AE7">
        <w:rPr>
          <w:b/>
          <w:bCs/>
        </w:rPr>
        <w:t xml:space="preserve"> mensal de </w:t>
      </w:r>
      <w:r>
        <w:rPr>
          <w:b/>
          <w:bCs/>
          <w:color w:val="FF0000"/>
        </w:rPr>
        <w:t>22,00</w:t>
      </w:r>
      <w:r w:rsidRPr="00B77AE7">
        <w:rPr>
          <w:b/>
          <w:bCs/>
        </w:rPr>
        <w:t xml:space="preserve">% e anual de </w:t>
      </w:r>
      <w:r>
        <w:rPr>
          <w:b/>
          <w:bCs/>
          <w:color w:val="FF0000"/>
        </w:rPr>
        <w:t>987,22</w:t>
      </w:r>
      <w:r w:rsidRPr="00B77AE7">
        <w:rPr>
          <w:b/>
          <w:bCs/>
        </w:rPr>
        <w:t>%</w:t>
      </w:r>
      <w:r w:rsidRPr="00B77AE7">
        <w:t>.</w:t>
      </w:r>
    </w:p>
    <w:p w14:paraId="24CBCB6A" w14:textId="397DFDF5" w:rsidR="00B52FF3" w:rsidRDefault="00B52FF3" w:rsidP="00B52FF3">
      <w:pPr>
        <w:pStyle w:val="CORPOHOMERO"/>
        <w:rPr>
          <w:rFonts w:asciiTheme="minorHAnsi" w:hAnsiTheme="minorHAnsi" w:cstheme="minorHAnsi"/>
          <w:sz w:val="24"/>
          <w:szCs w:val="24"/>
        </w:rPr>
      </w:pPr>
      <w:r w:rsidRPr="00B77AE7">
        <w:t>Os juros cobrados no contrato são manifestamente abusivos</w:t>
      </w:r>
      <w:r>
        <w:t xml:space="preserve"> quando comparados com </w:t>
      </w:r>
      <w:r w:rsidRPr="00B77AE7">
        <w:t>a média de mercado divulgada pelo Banco Central do Brasil. No segmento do contrato aqui debatido (</w:t>
      </w:r>
      <w:r w:rsidRPr="00B77AE7">
        <w:rPr>
          <w:b/>
          <w:bCs/>
        </w:rPr>
        <w:t xml:space="preserve">Taxa média mensal de juros - </w:t>
      </w:r>
      <w:r w:rsidRPr="00B77AE7">
        <w:rPr>
          <w:b/>
          <w:bCs/>
          <w:color w:val="FF0000"/>
        </w:rPr>
        <w:t xml:space="preserve">Pessoas físicas </w:t>
      </w:r>
      <w:r w:rsidRPr="00B77AE7">
        <w:rPr>
          <w:b/>
          <w:bCs/>
        </w:rPr>
        <w:t xml:space="preserve">- </w:t>
      </w:r>
      <w:r w:rsidRPr="00B77AE7">
        <w:rPr>
          <w:b/>
          <w:bCs/>
          <w:color w:val="FF0000"/>
        </w:rPr>
        <w:t>Crédito pessoal não consignado – Código 25464</w:t>
      </w:r>
      <w:r w:rsidRPr="00B77AE7">
        <w:rPr>
          <w:b/>
          <w:bCs/>
        </w:rPr>
        <w:t xml:space="preserve">), </w:t>
      </w:r>
      <w:r w:rsidRPr="00B77AE7">
        <w:t xml:space="preserve">no mês de </w:t>
      </w:r>
      <w:r w:rsidR="00C25BD4">
        <w:rPr>
          <w:color w:val="FF0000"/>
          <w:u w:val="single"/>
        </w:rPr>
        <w:t>junho de 2021</w:t>
      </w:r>
      <w:r w:rsidRPr="00B77AE7">
        <w:t xml:space="preserve">, a </w:t>
      </w:r>
      <w:r w:rsidRPr="00B77AE7">
        <w:rPr>
          <w:b/>
          <w:bCs/>
        </w:rPr>
        <w:t xml:space="preserve">taxa média de mercado </w:t>
      </w:r>
      <w:r w:rsidRPr="00B77AE7">
        <w:t xml:space="preserve">divulgada pelo Banco Central do Brasil foi de: </w:t>
      </w:r>
      <w:r w:rsidR="00161756">
        <w:rPr>
          <w:color w:val="FF0000"/>
          <w:u w:val="single"/>
        </w:rPr>
        <w:t>5,01</w:t>
      </w:r>
      <w:r w:rsidRPr="00B77AE7">
        <w:rPr>
          <w:u w:val="single"/>
        </w:rPr>
        <w:t xml:space="preserve">% ao mês e </w:t>
      </w:r>
      <w:r w:rsidR="00C25BD4">
        <w:rPr>
          <w:color w:val="FF0000"/>
          <w:u w:val="single"/>
        </w:rPr>
        <w:t>79,84</w:t>
      </w:r>
      <w:r w:rsidRPr="00B77AE7">
        <w:rPr>
          <w:u w:val="single"/>
        </w:rPr>
        <w:t>% ao ano</w:t>
      </w:r>
      <w:r w:rsidRPr="00B77AE7">
        <w:t>.</w:t>
      </w:r>
      <w:r w:rsidRPr="00B77AE7">
        <w:rPr>
          <w:rStyle w:val="Refdenotaderodap"/>
          <w:rFonts w:asciiTheme="minorHAnsi" w:hAnsiTheme="minorHAnsi" w:cstheme="minorHAnsi"/>
          <w:sz w:val="24"/>
          <w:szCs w:val="24"/>
        </w:rPr>
        <w:t xml:space="preserve"> </w:t>
      </w:r>
      <w:r w:rsidRPr="00B77AE7">
        <w:rPr>
          <w:rStyle w:val="Refdenotaderodap"/>
          <w:rFonts w:asciiTheme="minorHAnsi" w:hAnsiTheme="minorHAnsi" w:cstheme="minorHAnsi"/>
          <w:sz w:val="24"/>
          <w:szCs w:val="24"/>
        </w:rPr>
        <w:footnoteReference w:id="8"/>
      </w:r>
    </w:p>
    <w:p w14:paraId="39475A74" w14:textId="77777777" w:rsidR="00B52FF3" w:rsidRDefault="00B52FF3" w:rsidP="00B52FF3">
      <w:pPr>
        <w:pStyle w:val="CORPOHOMERO"/>
        <w:rPr>
          <w:rFonts w:asciiTheme="minorHAnsi" w:hAnsiTheme="minorHAnsi" w:cstheme="minorHAnsi"/>
          <w:sz w:val="24"/>
          <w:szCs w:val="24"/>
        </w:rPr>
      </w:pPr>
      <w:r>
        <w:rPr>
          <w:rFonts w:asciiTheme="minorHAnsi" w:hAnsiTheme="minorHAnsi" w:cstheme="minorHAnsi"/>
          <w:sz w:val="24"/>
          <w:szCs w:val="24"/>
        </w:rPr>
        <w:t>Comparativamente, temos o seguinte quadro:</w:t>
      </w:r>
    </w:p>
    <w:tbl>
      <w:tblPr>
        <w:tblStyle w:val="Tabelacomgrade"/>
        <w:tblW w:w="0" w:type="auto"/>
        <w:jc w:val="center"/>
        <w:tblLook w:val="04A0" w:firstRow="1" w:lastRow="0" w:firstColumn="1" w:lastColumn="0" w:noHBand="0" w:noVBand="1"/>
      </w:tblPr>
      <w:tblGrid>
        <w:gridCol w:w="3020"/>
        <w:gridCol w:w="3020"/>
      </w:tblGrid>
      <w:tr w:rsidR="00B52FF3" w:rsidRPr="00FE117E" w14:paraId="7B6DA352" w14:textId="77777777" w:rsidTr="00AB4D07">
        <w:trPr>
          <w:jc w:val="center"/>
        </w:trPr>
        <w:tc>
          <w:tcPr>
            <w:tcW w:w="3020" w:type="dxa"/>
            <w:shd w:val="clear" w:color="auto" w:fill="595959" w:themeFill="text1" w:themeFillTint="A6"/>
          </w:tcPr>
          <w:p w14:paraId="0165EFC8" w14:textId="77777777" w:rsidR="00B52FF3" w:rsidRPr="00FE117E" w:rsidRDefault="00B52FF3" w:rsidP="00AB4D07">
            <w:pPr>
              <w:pStyle w:val="CORPOHOMERO"/>
              <w:spacing w:line="240" w:lineRule="auto"/>
              <w:ind w:firstLine="0"/>
              <w:jc w:val="center"/>
              <w:rPr>
                <w:b/>
                <w:bCs/>
                <w:color w:val="FFFFFF" w:themeColor="background1"/>
              </w:rPr>
            </w:pPr>
            <w:r w:rsidRPr="00FE117E">
              <w:rPr>
                <w:b/>
                <w:bCs/>
                <w:color w:val="FFFFFF" w:themeColor="background1"/>
              </w:rPr>
              <w:t>Item</w:t>
            </w:r>
          </w:p>
        </w:tc>
        <w:tc>
          <w:tcPr>
            <w:tcW w:w="3020" w:type="dxa"/>
            <w:shd w:val="clear" w:color="auto" w:fill="595959" w:themeFill="text1" w:themeFillTint="A6"/>
          </w:tcPr>
          <w:p w14:paraId="3EAC84C1" w14:textId="77777777" w:rsidR="00B52FF3" w:rsidRPr="00FE117E" w:rsidRDefault="00B52FF3" w:rsidP="00AB4D07">
            <w:pPr>
              <w:pStyle w:val="CORPOHOMERO"/>
              <w:spacing w:line="240" w:lineRule="auto"/>
              <w:ind w:firstLine="0"/>
              <w:jc w:val="center"/>
              <w:rPr>
                <w:b/>
                <w:bCs/>
                <w:color w:val="FFFFFF" w:themeColor="background1"/>
              </w:rPr>
            </w:pPr>
            <w:r w:rsidRPr="00FE117E">
              <w:rPr>
                <w:b/>
                <w:bCs/>
                <w:color w:val="FFFFFF" w:themeColor="background1"/>
              </w:rPr>
              <w:t>Taxa ao mês</w:t>
            </w:r>
          </w:p>
        </w:tc>
      </w:tr>
      <w:tr w:rsidR="00B52FF3" w14:paraId="30C60946" w14:textId="77777777" w:rsidTr="00AB4D07">
        <w:trPr>
          <w:jc w:val="center"/>
        </w:trPr>
        <w:tc>
          <w:tcPr>
            <w:tcW w:w="3020" w:type="dxa"/>
            <w:shd w:val="clear" w:color="auto" w:fill="FABF8F" w:themeFill="accent6" w:themeFillTint="99"/>
          </w:tcPr>
          <w:p w14:paraId="381F89D5" w14:textId="77777777" w:rsidR="00B52FF3" w:rsidRDefault="00B52FF3" w:rsidP="00AB4D07">
            <w:pPr>
              <w:pStyle w:val="CORPOHOMERO"/>
              <w:spacing w:line="240" w:lineRule="auto"/>
              <w:ind w:firstLine="0"/>
            </w:pPr>
            <w:r>
              <w:t>Diferença entre as taxas</w:t>
            </w:r>
          </w:p>
        </w:tc>
        <w:tc>
          <w:tcPr>
            <w:tcW w:w="3020" w:type="dxa"/>
            <w:shd w:val="clear" w:color="auto" w:fill="FABF8F" w:themeFill="accent6" w:themeFillTint="99"/>
          </w:tcPr>
          <w:p w14:paraId="2CF792C3" w14:textId="554CBE43" w:rsidR="00B52FF3" w:rsidRDefault="00B52FF3" w:rsidP="00AB4D07">
            <w:pPr>
              <w:pStyle w:val="CORPOHOMERO"/>
              <w:spacing w:line="240" w:lineRule="auto"/>
              <w:ind w:firstLine="0"/>
              <w:jc w:val="center"/>
            </w:pPr>
            <w:r>
              <w:t xml:space="preserve">22,00% - </w:t>
            </w:r>
            <w:r w:rsidR="00C25BD4">
              <w:t>5,01</w:t>
            </w:r>
            <w:r>
              <w:t xml:space="preserve">% = </w:t>
            </w:r>
            <w:r w:rsidR="00C25BD4">
              <w:t>16,99</w:t>
            </w:r>
            <w:r>
              <w:t>%</w:t>
            </w:r>
          </w:p>
        </w:tc>
      </w:tr>
      <w:tr w:rsidR="00B52FF3" w14:paraId="05A8967C" w14:textId="77777777" w:rsidTr="00AB4D07">
        <w:trPr>
          <w:jc w:val="center"/>
        </w:trPr>
        <w:tc>
          <w:tcPr>
            <w:tcW w:w="3020" w:type="dxa"/>
            <w:shd w:val="clear" w:color="auto" w:fill="FABF8F" w:themeFill="accent6" w:themeFillTint="99"/>
          </w:tcPr>
          <w:p w14:paraId="385E9261" w14:textId="77777777" w:rsidR="00B52FF3" w:rsidRDefault="00B52FF3" w:rsidP="00AB4D07">
            <w:pPr>
              <w:pStyle w:val="CORPOHOMERO"/>
              <w:spacing w:line="240" w:lineRule="auto"/>
              <w:ind w:firstLine="0"/>
            </w:pPr>
            <w:r>
              <w:t>Proporção do excesso</w:t>
            </w:r>
            <w:r w:rsidRPr="00B77AE7">
              <w:rPr>
                <w:rStyle w:val="Refdenotaderodap"/>
                <w:rFonts w:asciiTheme="minorHAnsi" w:hAnsiTheme="minorHAnsi" w:cstheme="minorHAnsi"/>
                <w:sz w:val="24"/>
                <w:szCs w:val="24"/>
              </w:rPr>
              <w:footnoteReference w:id="9"/>
            </w:r>
          </w:p>
        </w:tc>
        <w:tc>
          <w:tcPr>
            <w:tcW w:w="3020" w:type="dxa"/>
            <w:shd w:val="clear" w:color="auto" w:fill="FABF8F" w:themeFill="accent6" w:themeFillTint="99"/>
          </w:tcPr>
          <w:p w14:paraId="1F2265D0" w14:textId="527E8D37" w:rsidR="00B52FF3" w:rsidRDefault="00D135D8" w:rsidP="00AB4D07">
            <w:pPr>
              <w:pStyle w:val="CORPOHOMERO"/>
              <w:spacing w:line="240" w:lineRule="auto"/>
              <w:ind w:firstLine="0"/>
              <w:jc w:val="center"/>
            </w:pPr>
            <w:r>
              <w:t>339,12</w:t>
            </w:r>
            <w:r w:rsidR="00B52FF3">
              <w:t>% de excesso</w:t>
            </w:r>
          </w:p>
        </w:tc>
      </w:tr>
    </w:tbl>
    <w:p w14:paraId="2FA1D62F" w14:textId="77777777" w:rsidR="00B52FF3" w:rsidRPr="00EE01B2" w:rsidRDefault="00B52FF3" w:rsidP="00B52FF3">
      <w:pPr>
        <w:pStyle w:val="CORPOHOMERO"/>
        <w:ind w:firstLine="0"/>
      </w:pPr>
    </w:p>
    <w:p w14:paraId="6EA29952" w14:textId="5678F7DB" w:rsidR="00B52FF3" w:rsidRPr="00B77AE7" w:rsidRDefault="00B52FF3" w:rsidP="00B52FF3">
      <w:pPr>
        <w:pStyle w:val="CORPOHOMERO"/>
      </w:pPr>
      <w:r w:rsidRPr="00B77AE7">
        <w:t xml:space="preserve">Em termos pecuniários a situação é ainda mais absurda, porque </w:t>
      </w:r>
      <w:r w:rsidRPr="008028A2">
        <w:rPr>
          <w:u w:val="single"/>
        </w:rPr>
        <w:t xml:space="preserve">a parte demandante pagará ao final do contrato um valor a maior de R$ </w:t>
      </w:r>
      <w:r w:rsidR="007D69F0">
        <w:rPr>
          <w:u w:val="single"/>
        </w:rPr>
        <w:t>458,10</w:t>
      </w:r>
      <w:r>
        <w:t>. Não só isso! O lucro bancário depois da revisão será praticamente igual ao valor que foi liberado à parte demandante</w:t>
      </w:r>
      <w:r w:rsidRPr="00B77AE7">
        <w:t>, como bem demonstrado na planilha a seguir:</w:t>
      </w:r>
    </w:p>
    <w:p w14:paraId="6EE0CD3B" w14:textId="254E3EF6" w:rsidR="00B52FF3" w:rsidRPr="00B77AE7" w:rsidRDefault="007D69F0" w:rsidP="00B52FF3">
      <w:pPr>
        <w:pStyle w:val="CORPOHOMERO"/>
        <w:ind w:firstLine="0"/>
        <w:jc w:val="center"/>
      </w:pPr>
      <w:r>
        <w:rPr>
          <w:noProof/>
        </w:rPr>
        <w:drawing>
          <wp:inline distT="0" distB="0" distL="0" distR="0" wp14:anchorId="45D2339E" wp14:editId="6F152ADC">
            <wp:extent cx="4641567" cy="3852025"/>
            <wp:effectExtent l="0" t="0" r="6985" b="0"/>
            <wp:docPr id="5" name="Imagem 5" descr="Interface gráfica do usuári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Interface gráfica do usuário, Tabela&#10;&#10;Descrição gerada automaticamente"/>
                    <pic:cNvPicPr/>
                  </pic:nvPicPr>
                  <pic:blipFill>
                    <a:blip r:embed="rId10"/>
                    <a:stretch>
                      <a:fillRect/>
                    </a:stretch>
                  </pic:blipFill>
                  <pic:spPr>
                    <a:xfrm>
                      <a:off x="0" y="0"/>
                      <a:ext cx="4654313" cy="3862603"/>
                    </a:xfrm>
                    <a:prstGeom prst="rect">
                      <a:avLst/>
                    </a:prstGeom>
                  </pic:spPr>
                </pic:pic>
              </a:graphicData>
            </a:graphic>
          </wp:inline>
        </w:drawing>
      </w:r>
    </w:p>
    <w:p w14:paraId="412E46BF" w14:textId="77777777" w:rsidR="00B52FF3" w:rsidRDefault="00B52FF3" w:rsidP="00B52FF3">
      <w:pPr>
        <w:pStyle w:val="CORPOHOMERO"/>
      </w:pPr>
      <w:r w:rsidRPr="00B77AE7">
        <w:t>Essa abissal diferença é a grande prova da violação dos princípios bases da política nacional da relação de consumo por parte da Demandada, em especial a boa-fé objetiva e o equilíbrio na relação entre consumidores e fornecedores (art. 4º, III, CDC).</w:t>
      </w:r>
    </w:p>
    <w:p w14:paraId="275CE009" w14:textId="77777777" w:rsidR="00B52FF3" w:rsidRPr="00B77AE7" w:rsidRDefault="00B52FF3" w:rsidP="00B52FF3">
      <w:pPr>
        <w:pStyle w:val="CORPOHOMERO"/>
      </w:pPr>
      <w:r>
        <w:t xml:space="preserve">Com relação ao </w:t>
      </w:r>
      <w:r w:rsidRPr="00691ED9">
        <w:t>custo da captação dos recursos no local e época do contrato; o valor e o prazo do financiamento; análise do perfil de risco de crédito do tomador; a forma de pagamento da operação, entre outros aspectos</w:t>
      </w:r>
      <w:r>
        <w:t>, é impossível ao demandante fazer essa prova, porque são informações que estão no domínio exclusivo da parte demandada. Assim, ela que deverá apresentar prova disso, conforme tópico da inversão do ônus probatório</w:t>
      </w:r>
      <w:r w:rsidRPr="00691ED9">
        <w:t>.</w:t>
      </w:r>
    </w:p>
    <w:p w14:paraId="310B7A29" w14:textId="4B5FCAE6" w:rsidR="00B52FF3" w:rsidRDefault="00B52FF3" w:rsidP="00B52FF3">
      <w:pPr>
        <w:pStyle w:val="CORPOHOMERO"/>
      </w:pPr>
      <w:r w:rsidRPr="00B77AE7">
        <w:t>Dessa forma, na forma do §1º do art. 51 do CDC</w:t>
      </w:r>
      <w:r>
        <w:t>, deve ser</w:t>
      </w:r>
      <w:r w:rsidRPr="00B77AE7">
        <w:rPr>
          <w:b/>
          <w:bCs/>
        </w:rPr>
        <w:t xml:space="preserve"> declara</w:t>
      </w:r>
      <w:r>
        <w:rPr>
          <w:b/>
          <w:bCs/>
        </w:rPr>
        <w:t>da</w:t>
      </w:r>
      <w:r w:rsidRPr="00B77AE7">
        <w:rPr>
          <w:b/>
          <w:bCs/>
        </w:rPr>
        <w:t xml:space="preserve"> a abusividade da </w:t>
      </w:r>
      <w:r>
        <w:rPr>
          <w:b/>
          <w:bCs/>
        </w:rPr>
        <w:t xml:space="preserve">taxa de juros remuneratórios constante do </w:t>
      </w:r>
      <w:r>
        <w:t>ANEXO 2 – DEMONSTRATIVO DO CUSTO EFETIVO TOTAL (</w:t>
      </w:r>
      <w:r w:rsidRPr="00B77AE7">
        <w:rPr>
          <w:b/>
          <w:bCs/>
        </w:rPr>
        <w:t xml:space="preserve">a taxa </w:t>
      </w:r>
      <w:r w:rsidRPr="00B77AE7">
        <w:rPr>
          <w:b/>
          <w:bCs/>
          <w:u w:val="single"/>
        </w:rPr>
        <w:t>nominal</w:t>
      </w:r>
      <w:r w:rsidRPr="00B77AE7">
        <w:rPr>
          <w:b/>
          <w:bCs/>
        </w:rPr>
        <w:t xml:space="preserve"> mensal de </w:t>
      </w:r>
      <w:r>
        <w:rPr>
          <w:b/>
          <w:bCs/>
          <w:color w:val="FF0000"/>
        </w:rPr>
        <w:t>22,00</w:t>
      </w:r>
      <w:r w:rsidRPr="00B77AE7">
        <w:rPr>
          <w:b/>
          <w:bCs/>
        </w:rPr>
        <w:t xml:space="preserve">% e anual de </w:t>
      </w:r>
      <w:r>
        <w:rPr>
          <w:b/>
          <w:bCs/>
          <w:color w:val="FF0000"/>
        </w:rPr>
        <w:t>987,22</w:t>
      </w:r>
      <w:r w:rsidRPr="00B77AE7">
        <w:rPr>
          <w:b/>
          <w:bCs/>
        </w:rPr>
        <w:t>%</w:t>
      </w:r>
      <w:r>
        <w:t xml:space="preserve">), </w:t>
      </w:r>
      <w:r w:rsidRPr="00B77AE7">
        <w:t xml:space="preserve">determinando-se a redução da taxa de juros remuneratórios do contrato para a média de mercado, qual seja, </w:t>
      </w:r>
      <w:r w:rsidR="00882F73">
        <w:rPr>
          <w:color w:val="FF0000"/>
          <w:u w:val="single"/>
        </w:rPr>
        <w:t>5,01</w:t>
      </w:r>
      <w:r w:rsidRPr="00535B82">
        <w:rPr>
          <w:color w:val="FF0000"/>
          <w:u w:val="single"/>
        </w:rPr>
        <w:t xml:space="preserve">% ao mês e </w:t>
      </w:r>
      <w:r w:rsidR="00882F73">
        <w:rPr>
          <w:color w:val="FF0000"/>
          <w:u w:val="single"/>
        </w:rPr>
        <w:t>79,84</w:t>
      </w:r>
      <w:r w:rsidRPr="00535B82">
        <w:rPr>
          <w:color w:val="FF0000"/>
          <w:u w:val="single"/>
        </w:rPr>
        <w:t>% ao ano</w:t>
      </w:r>
      <w:r>
        <w:rPr>
          <w:color w:val="FF0000"/>
          <w:u w:val="single"/>
        </w:rPr>
        <w:t>.</w:t>
      </w:r>
    </w:p>
    <w:p w14:paraId="422DC17C" w14:textId="77777777" w:rsidR="00B14C0F" w:rsidRPr="00FF249E" w:rsidRDefault="00B14C0F" w:rsidP="00A23C2D">
      <w:pPr>
        <w:pStyle w:val="CORPOHOMERO"/>
      </w:pPr>
    </w:p>
    <w:p w14:paraId="50482DC0" w14:textId="74A59EF0" w:rsidR="00381652" w:rsidRPr="00BB3951" w:rsidRDefault="00B77AE7" w:rsidP="00381652">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381652" w:rsidRPr="00BB3951">
        <w:rPr>
          <w:rFonts w:asciiTheme="minorHAnsi" w:hAnsiTheme="minorHAnsi" w:cstheme="minorHAnsi"/>
          <w:b/>
          <w:sz w:val="24"/>
          <w:szCs w:val="24"/>
          <w:u w:val="single"/>
        </w:rPr>
        <w:t>. 3.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09681DB9" w:rsidR="00381652" w:rsidRPr="00BB3951" w:rsidRDefault="00381652" w:rsidP="001704EC">
      <w:pPr>
        <w:pStyle w:val="CORPOHOMERO"/>
      </w:pPr>
      <w:r w:rsidRPr="00BB3951">
        <w:t>As cláusulas contratuais objeto desta ação já estão anunciadas nas linhas volvidas</w:t>
      </w:r>
      <w:r w:rsidR="00882F73">
        <w:t>, isto é, os juros remuneratórios da normalidade e anormalidade contratual.</w:t>
      </w:r>
    </w:p>
    <w:p w14:paraId="04D0B8ED" w14:textId="5646C98B" w:rsidR="00274E94" w:rsidRDefault="00381652" w:rsidP="001704EC">
      <w:pPr>
        <w:pStyle w:val="CORPOHOMERO"/>
      </w:pPr>
      <w:r w:rsidRPr="00BB3951">
        <w:t>Em decorrência das abusividades contratuais apontadas nesta ação,</w:t>
      </w:r>
      <w:r w:rsidR="00274E94">
        <w:t xml:space="preserve"> temos que as prestações após a revisão contratual deverão ser (valor incontroverso) de</w:t>
      </w:r>
      <w:r w:rsidR="00093045">
        <w:t xml:space="preserve"> (v. planilhas acima</w:t>
      </w:r>
      <w:r w:rsidR="001B74A5">
        <w:t xml:space="preserve"> e anexas)</w:t>
      </w:r>
      <w:r w:rsidR="00274E94">
        <w:t>:</w:t>
      </w:r>
    </w:p>
    <w:tbl>
      <w:tblPr>
        <w:tblStyle w:val="Tabelacomgrade"/>
        <w:tblW w:w="0" w:type="auto"/>
        <w:jc w:val="center"/>
        <w:tblLook w:val="04A0" w:firstRow="1" w:lastRow="0" w:firstColumn="1" w:lastColumn="0" w:noHBand="0" w:noVBand="1"/>
      </w:tblPr>
      <w:tblGrid>
        <w:gridCol w:w="1677"/>
        <w:gridCol w:w="2813"/>
        <w:gridCol w:w="3152"/>
      </w:tblGrid>
      <w:tr w:rsidR="003C1605" w:rsidRPr="003C1605" w14:paraId="5DDA79F9" w14:textId="77777777" w:rsidTr="00395DBE">
        <w:trPr>
          <w:jc w:val="center"/>
        </w:trPr>
        <w:tc>
          <w:tcPr>
            <w:tcW w:w="0" w:type="auto"/>
            <w:shd w:val="clear" w:color="auto" w:fill="E36C0A" w:themeFill="accent6" w:themeFillShade="BF"/>
          </w:tcPr>
          <w:p w14:paraId="46C250CC" w14:textId="281ECEF3" w:rsidR="003C1605" w:rsidRPr="003C1605" w:rsidRDefault="003C1605" w:rsidP="00395DBE">
            <w:pPr>
              <w:pStyle w:val="CORPOHOMERO"/>
              <w:spacing w:line="240" w:lineRule="auto"/>
              <w:ind w:firstLine="0"/>
              <w:jc w:val="center"/>
              <w:rPr>
                <w:b/>
                <w:bCs/>
              </w:rPr>
            </w:pPr>
            <w:r w:rsidRPr="003C1605">
              <w:rPr>
                <w:b/>
                <w:bCs/>
              </w:rPr>
              <w:t>Contrato</w:t>
            </w:r>
          </w:p>
        </w:tc>
        <w:tc>
          <w:tcPr>
            <w:tcW w:w="0" w:type="auto"/>
            <w:shd w:val="clear" w:color="auto" w:fill="E36C0A" w:themeFill="accent6" w:themeFillShade="BF"/>
          </w:tcPr>
          <w:p w14:paraId="27A28D8F" w14:textId="743C1E63" w:rsidR="003C1605" w:rsidRPr="003C1605" w:rsidRDefault="003C1605" w:rsidP="00395DBE">
            <w:pPr>
              <w:pStyle w:val="CORPOHOMERO"/>
              <w:spacing w:line="240" w:lineRule="auto"/>
              <w:ind w:firstLine="0"/>
              <w:jc w:val="center"/>
              <w:rPr>
                <w:b/>
                <w:bCs/>
              </w:rPr>
            </w:pPr>
            <w:r w:rsidRPr="003C1605">
              <w:rPr>
                <w:b/>
                <w:bCs/>
              </w:rPr>
              <w:t>Valor contratual da parcela</w:t>
            </w:r>
          </w:p>
        </w:tc>
        <w:tc>
          <w:tcPr>
            <w:tcW w:w="0" w:type="auto"/>
            <w:shd w:val="clear" w:color="auto" w:fill="E36C0A" w:themeFill="accent6" w:themeFillShade="BF"/>
          </w:tcPr>
          <w:p w14:paraId="221D6C8F" w14:textId="02613B94" w:rsidR="003C1605" w:rsidRPr="003C1605" w:rsidRDefault="003C1605" w:rsidP="00395DBE">
            <w:pPr>
              <w:pStyle w:val="CORPOHOMERO"/>
              <w:spacing w:line="240" w:lineRule="auto"/>
              <w:ind w:firstLine="0"/>
              <w:jc w:val="center"/>
              <w:rPr>
                <w:b/>
                <w:bCs/>
              </w:rPr>
            </w:pPr>
            <w:r w:rsidRPr="003C1605">
              <w:rPr>
                <w:b/>
                <w:bCs/>
              </w:rPr>
              <w:t>Valor incontroverso da parcela</w:t>
            </w:r>
          </w:p>
        </w:tc>
      </w:tr>
      <w:tr w:rsidR="003C1605" w14:paraId="14B1F747" w14:textId="77777777" w:rsidTr="00395DBE">
        <w:trPr>
          <w:jc w:val="center"/>
        </w:trPr>
        <w:tc>
          <w:tcPr>
            <w:tcW w:w="0" w:type="auto"/>
          </w:tcPr>
          <w:p w14:paraId="21861F00" w14:textId="40F61433" w:rsidR="003C1605" w:rsidRDefault="003C1605" w:rsidP="00395DBE">
            <w:pPr>
              <w:pStyle w:val="CORPOHOMERO"/>
              <w:spacing w:line="240" w:lineRule="auto"/>
              <w:ind w:firstLine="0"/>
            </w:pPr>
            <w:r w:rsidRPr="00AE2E83">
              <w:rPr>
                <w:b/>
                <w:bCs/>
              </w:rPr>
              <w:t>050780007580</w:t>
            </w:r>
            <w:r>
              <w:t>:</w:t>
            </w:r>
          </w:p>
        </w:tc>
        <w:tc>
          <w:tcPr>
            <w:tcW w:w="0" w:type="auto"/>
          </w:tcPr>
          <w:p w14:paraId="315FF8CD" w14:textId="2737F321" w:rsidR="003C1605" w:rsidRDefault="00395DBE" w:rsidP="00395DBE">
            <w:pPr>
              <w:pStyle w:val="CORPOHOMERO"/>
              <w:spacing w:line="240" w:lineRule="auto"/>
              <w:ind w:firstLine="0"/>
              <w:jc w:val="center"/>
            </w:pPr>
            <w:r>
              <w:t>R$ 121,65</w:t>
            </w:r>
          </w:p>
        </w:tc>
        <w:tc>
          <w:tcPr>
            <w:tcW w:w="0" w:type="auto"/>
          </w:tcPr>
          <w:p w14:paraId="49D893FC" w14:textId="038F95F1" w:rsidR="003C1605" w:rsidRDefault="003C1605" w:rsidP="00395DBE">
            <w:pPr>
              <w:pStyle w:val="CORPOHOMERO"/>
              <w:spacing w:line="240" w:lineRule="auto"/>
              <w:ind w:firstLine="0"/>
              <w:jc w:val="center"/>
            </w:pPr>
            <w:r>
              <w:t>R$ 60,67</w:t>
            </w:r>
          </w:p>
        </w:tc>
      </w:tr>
      <w:tr w:rsidR="003C1605" w14:paraId="21D1AC13" w14:textId="77777777" w:rsidTr="00395DBE">
        <w:trPr>
          <w:jc w:val="center"/>
        </w:trPr>
        <w:tc>
          <w:tcPr>
            <w:tcW w:w="0" w:type="auto"/>
          </w:tcPr>
          <w:p w14:paraId="5976343E" w14:textId="3B71ACCA" w:rsidR="003C1605" w:rsidRDefault="003C1605" w:rsidP="00395DBE">
            <w:pPr>
              <w:pStyle w:val="CORPOHOMERO"/>
              <w:spacing w:line="240" w:lineRule="auto"/>
              <w:ind w:firstLine="0"/>
            </w:pPr>
            <w:r w:rsidRPr="00AE2E83">
              <w:rPr>
                <w:b/>
                <w:bCs/>
              </w:rPr>
              <w:t>050780010825</w:t>
            </w:r>
            <w:r>
              <w:t>:</w:t>
            </w:r>
          </w:p>
        </w:tc>
        <w:tc>
          <w:tcPr>
            <w:tcW w:w="0" w:type="auto"/>
          </w:tcPr>
          <w:p w14:paraId="26BF1960" w14:textId="15D3AFFC" w:rsidR="003C1605" w:rsidRDefault="00395DBE" w:rsidP="00395DBE">
            <w:pPr>
              <w:pStyle w:val="CORPOHOMERO"/>
              <w:spacing w:line="240" w:lineRule="auto"/>
              <w:ind w:firstLine="0"/>
              <w:jc w:val="center"/>
            </w:pPr>
            <w:r>
              <w:t>R$ 150,00</w:t>
            </w:r>
          </w:p>
        </w:tc>
        <w:tc>
          <w:tcPr>
            <w:tcW w:w="0" w:type="auto"/>
          </w:tcPr>
          <w:p w14:paraId="0C3D2C1A" w14:textId="2F38ACE9" w:rsidR="003C1605" w:rsidRDefault="003C1605" w:rsidP="00395DBE">
            <w:pPr>
              <w:pStyle w:val="CORPOHOMERO"/>
              <w:spacing w:line="240" w:lineRule="auto"/>
              <w:ind w:firstLine="0"/>
              <w:jc w:val="center"/>
            </w:pPr>
            <w:r>
              <w:t>R$ 84,56</w:t>
            </w:r>
          </w:p>
        </w:tc>
      </w:tr>
    </w:tbl>
    <w:p w14:paraId="49530FC1" w14:textId="77777777" w:rsidR="003C1605" w:rsidRDefault="003C1605" w:rsidP="001704EC">
      <w:pPr>
        <w:pStyle w:val="CORPOHOMERO"/>
      </w:pPr>
    </w:p>
    <w:p w14:paraId="3BAC9BCB" w14:textId="29FEC795" w:rsidR="004846F4" w:rsidRDefault="00381652" w:rsidP="001704EC">
      <w:pPr>
        <w:pStyle w:val="CORPOHOMERO"/>
      </w:pPr>
      <w:r w:rsidRPr="00BB3951">
        <w:t xml:space="preserve">Ainda, informa-se que até o ajuizamento da ação </w:t>
      </w:r>
      <w:r w:rsidR="004846F4">
        <w:t xml:space="preserve">os contratos </w:t>
      </w:r>
      <w:r w:rsidR="00395DBE">
        <w:t xml:space="preserve">se </w:t>
      </w:r>
      <w:r w:rsidR="004846F4">
        <w:t>encontram com a seguinte situação de pagamento:</w:t>
      </w:r>
    </w:p>
    <w:tbl>
      <w:tblPr>
        <w:tblStyle w:val="Tabelacomgrade"/>
        <w:tblW w:w="0" w:type="auto"/>
        <w:jc w:val="center"/>
        <w:tblLook w:val="04A0" w:firstRow="1" w:lastRow="0" w:firstColumn="1" w:lastColumn="0" w:noHBand="0" w:noVBand="1"/>
      </w:tblPr>
      <w:tblGrid>
        <w:gridCol w:w="1677"/>
        <w:gridCol w:w="1611"/>
        <w:gridCol w:w="3573"/>
      </w:tblGrid>
      <w:tr w:rsidR="00395DBE" w:rsidRPr="003C1605" w14:paraId="365ED92C" w14:textId="77777777" w:rsidTr="00AB4D07">
        <w:trPr>
          <w:jc w:val="center"/>
        </w:trPr>
        <w:tc>
          <w:tcPr>
            <w:tcW w:w="0" w:type="auto"/>
            <w:shd w:val="clear" w:color="auto" w:fill="E36C0A" w:themeFill="accent6" w:themeFillShade="BF"/>
          </w:tcPr>
          <w:p w14:paraId="4DC026A5" w14:textId="77777777" w:rsidR="00395DBE" w:rsidRPr="003C1605" w:rsidRDefault="00395DBE" w:rsidP="00AB4D07">
            <w:pPr>
              <w:pStyle w:val="CORPOHOMERO"/>
              <w:spacing w:line="240" w:lineRule="auto"/>
              <w:ind w:firstLine="0"/>
              <w:jc w:val="center"/>
              <w:rPr>
                <w:b/>
                <w:bCs/>
              </w:rPr>
            </w:pPr>
            <w:r w:rsidRPr="003C1605">
              <w:rPr>
                <w:b/>
                <w:bCs/>
              </w:rPr>
              <w:t>Contrato</w:t>
            </w:r>
          </w:p>
        </w:tc>
        <w:tc>
          <w:tcPr>
            <w:tcW w:w="0" w:type="auto"/>
            <w:shd w:val="clear" w:color="auto" w:fill="E36C0A" w:themeFill="accent6" w:themeFillShade="BF"/>
          </w:tcPr>
          <w:p w14:paraId="5F975EDB" w14:textId="3C0F7224" w:rsidR="00395DBE" w:rsidRPr="003C1605" w:rsidRDefault="00395DBE" w:rsidP="00AB4D07">
            <w:pPr>
              <w:pStyle w:val="CORPOHOMERO"/>
              <w:spacing w:line="240" w:lineRule="auto"/>
              <w:ind w:firstLine="0"/>
              <w:jc w:val="center"/>
              <w:rPr>
                <w:b/>
                <w:bCs/>
              </w:rPr>
            </w:pPr>
            <w:r>
              <w:rPr>
                <w:b/>
                <w:bCs/>
              </w:rPr>
              <w:t>Parcelas pagas</w:t>
            </w:r>
          </w:p>
        </w:tc>
        <w:tc>
          <w:tcPr>
            <w:tcW w:w="0" w:type="auto"/>
            <w:shd w:val="clear" w:color="auto" w:fill="E36C0A" w:themeFill="accent6" w:themeFillShade="BF"/>
          </w:tcPr>
          <w:p w14:paraId="4D1EEC5F" w14:textId="287CC933" w:rsidR="00395DBE" w:rsidRPr="003C1605" w:rsidRDefault="00395DBE" w:rsidP="00AB4D07">
            <w:pPr>
              <w:pStyle w:val="CORPOHOMERO"/>
              <w:spacing w:line="240" w:lineRule="auto"/>
              <w:ind w:firstLine="0"/>
              <w:jc w:val="center"/>
              <w:rPr>
                <w:b/>
                <w:bCs/>
              </w:rPr>
            </w:pPr>
            <w:r>
              <w:rPr>
                <w:b/>
                <w:bCs/>
              </w:rPr>
              <w:t>Parcelas vincendas</w:t>
            </w:r>
          </w:p>
        </w:tc>
      </w:tr>
      <w:tr w:rsidR="00395DBE" w14:paraId="6DCCCED3" w14:textId="77777777" w:rsidTr="00AB4D07">
        <w:trPr>
          <w:jc w:val="center"/>
        </w:trPr>
        <w:tc>
          <w:tcPr>
            <w:tcW w:w="0" w:type="auto"/>
          </w:tcPr>
          <w:p w14:paraId="6FBE2C99" w14:textId="77777777" w:rsidR="00395DBE" w:rsidRDefault="00395DBE" w:rsidP="00AB4D07">
            <w:pPr>
              <w:pStyle w:val="CORPOHOMERO"/>
              <w:spacing w:line="240" w:lineRule="auto"/>
              <w:ind w:firstLine="0"/>
            </w:pPr>
            <w:r w:rsidRPr="00AE2E83">
              <w:rPr>
                <w:b/>
                <w:bCs/>
              </w:rPr>
              <w:t>050780007580</w:t>
            </w:r>
            <w:r>
              <w:t>:</w:t>
            </w:r>
          </w:p>
        </w:tc>
        <w:tc>
          <w:tcPr>
            <w:tcW w:w="0" w:type="auto"/>
          </w:tcPr>
          <w:p w14:paraId="6DC1CB96" w14:textId="0863DBBD" w:rsidR="00395DBE" w:rsidRDefault="00395DBE" w:rsidP="00AB4D07">
            <w:pPr>
              <w:pStyle w:val="CORPOHOMERO"/>
              <w:spacing w:line="240" w:lineRule="auto"/>
              <w:ind w:firstLine="0"/>
              <w:jc w:val="center"/>
            </w:pPr>
            <w:r>
              <w:t>7 de R$ 121,65</w:t>
            </w:r>
          </w:p>
        </w:tc>
        <w:tc>
          <w:tcPr>
            <w:tcW w:w="0" w:type="auto"/>
          </w:tcPr>
          <w:p w14:paraId="3EAC29CF" w14:textId="620FBB06" w:rsidR="00395DBE" w:rsidRDefault="00395DBE" w:rsidP="00AB4D07">
            <w:pPr>
              <w:pStyle w:val="CORPOHOMERO"/>
              <w:spacing w:line="240" w:lineRule="auto"/>
              <w:ind w:firstLine="0"/>
              <w:jc w:val="center"/>
            </w:pPr>
            <w:r>
              <w:t>Contrato quitado pela renegociação</w:t>
            </w:r>
          </w:p>
        </w:tc>
      </w:tr>
      <w:tr w:rsidR="00395DBE" w14:paraId="34A659C8" w14:textId="77777777" w:rsidTr="00AB4D07">
        <w:trPr>
          <w:jc w:val="center"/>
        </w:trPr>
        <w:tc>
          <w:tcPr>
            <w:tcW w:w="0" w:type="auto"/>
          </w:tcPr>
          <w:p w14:paraId="652772AE" w14:textId="77777777" w:rsidR="00395DBE" w:rsidRDefault="00395DBE" w:rsidP="00AB4D07">
            <w:pPr>
              <w:pStyle w:val="CORPOHOMERO"/>
              <w:spacing w:line="240" w:lineRule="auto"/>
              <w:ind w:firstLine="0"/>
            </w:pPr>
            <w:r w:rsidRPr="00AE2E83">
              <w:rPr>
                <w:b/>
                <w:bCs/>
              </w:rPr>
              <w:t>050780010825</w:t>
            </w:r>
            <w:r>
              <w:t>:</w:t>
            </w:r>
          </w:p>
        </w:tc>
        <w:tc>
          <w:tcPr>
            <w:tcW w:w="0" w:type="auto"/>
          </w:tcPr>
          <w:p w14:paraId="35676B22" w14:textId="681BDF50" w:rsidR="00395DBE" w:rsidRDefault="00E068E9" w:rsidP="00AB4D07">
            <w:pPr>
              <w:pStyle w:val="CORPOHOMERO"/>
              <w:spacing w:line="240" w:lineRule="auto"/>
              <w:ind w:firstLine="0"/>
              <w:jc w:val="center"/>
            </w:pPr>
            <w:r>
              <w:t>3</w:t>
            </w:r>
            <w:r w:rsidR="00A64079">
              <w:t xml:space="preserve"> de </w:t>
            </w:r>
            <w:r w:rsidR="00395DBE">
              <w:t>R$ 150,00</w:t>
            </w:r>
          </w:p>
        </w:tc>
        <w:tc>
          <w:tcPr>
            <w:tcW w:w="0" w:type="auto"/>
          </w:tcPr>
          <w:p w14:paraId="5B85BCBC" w14:textId="0E263042" w:rsidR="00395DBE" w:rsidRDefault="005158A1" w:rsidP="00AB4D07">
            <w:pPr>
              <w:pStyle w:val="CORPOHOMERO"/>
              <w:spacing w:line="240" w:lineRule="auto"/>
              <w:ind w:firstLine="0"/>
              <w:jc w:val="center"/>
            </w:pPr>
            <w:r>
              <w:t>4 parcelas</w:t>
            </w:r>
          </w:p>
        </w:tc>
      </w:tr>
    </w:tbl>
    <w:p w14:paraId="376C387F" w14:textId="77777777" w:rsidR="00395DBE" w:rsidRDefault="00395DBE" w:rsidP="001704EC">
      <w:pPr>
        <w:pStyle w:val="CORPOHOMERO"/>
      </w:pPr>
    </w:p>
    <w:p w14:paraId="4149C6C1" w14:textId="2842ABB6" w:rsidR="00381652" w:rsidRDefault="00381652" w:rsidP="001704EC">
      <w:pPr>
        <w:pStyle w:val="CORPOHOMERO"/>
        <w:rPr>
          <w:sz w:val="20"/>
          <w:szCs w:val="20"/>
        </w:rPr>
      </w:pPr>
      <w:r w:rsidRPr="00BB3951">
        <w:t>Assim,</w:t>
      </w:r>
      <w:r w:rsidR="004B732C">
        <w:t xml:space="preserve"> na forma do art. 330, §3º do </w:t>
      </w:r>
      <w:proofErr w:type="gramStart"/>
      <w:r w:rsidR="004B732C">
        <w:t xml:space="preserve">CPC, </w:t>
      </w:r>
      <w:r w:rsidRPr="00BB3951">
        <w:t xml:space="preserve"> </w:t>
      </w:r>
      <w:r w:rsidRPr="00BB3951">
        <w:rPr>
          <w:u w:val="single"/>
        </w:rPr>
        <w:t>o</w:t>
      </w:r>
      <w:proofErr w:type="gramEnd"/>
      <w:r w:rsidRPr="00BB3951">
        <w:rPr>
          <w:u w:val="single"/>
        </w:rPr>
        <w:t xml:space="preserve"> Demandante ainda tem o dever de pagar </w:t>
      </w:r>
      <w:r w:rsidR="005158A1">
        <w:rPr>
          <w:u w:val="single"/>
        </w:rPr>
        <w:t>04</w:t>
      </w:r>
      <w:r w:rsidRPr="00BB3951">
        <w:rPr>
          <w:u w:val="single"/>
        </w:rPr>
        <w:t xml:space="preserve"> (</w:t>
      </w:r>
      <w:r w:rsidR="005158A1">
        <w:rPr>
          <w:u w:val="single"/>
        </w:rPr>
        <w:t>quatro</w:t>
      </w:r>
      <w:r w:rsidRPr="00BB3951">
        <w:rPr>
          <w:u w:val="single"/>
        </w:rPr>
        <w:t>) parcelas</w:t>
      </w:r>
      <w:r w:rsidR="005158A1">
        <w:rPr>
          <w:u w:val="single"/>
        </w:rPr>
        <w:t xml:space="preserve"> do contrato n. </w:t>
      </w:r>
      <w:r w:rsidR="005158A1" w:rsidRPr="005158A1">
        <w:rPr>
          <w:u w:val="single"/>
        </w:rPr>
        <w:t>050780010825</w:t>
      </w:r>
      <w:r w:rsidRPr="00BB3951">
        <w:t>, porém sob o valor aqui fixado como incontroverso</w:t>
      </w:r>
      <w:r w:rsidR="001704EC" w:rsidRPr="00BB3951">
        <w:t xml:space="preserve">, qual seja, R$ </w:t>
      </w:r>
      <w:r w:rsidR="005158A1" w:rsidRPr="005158A1">
        <w:t>R$ 84,56</w:t>
      </w:r>
      <w:r w:rsidR="004B732C">
        <w:t xml:space="preserve">. Quanto ao contrato n. </w:t>
      </w:r>
      <w:r w:rsidR="004B732C" w:rsidRPr="004B732C">
        <w:t>050780007580</w:t>
      </w:r>
      <w:r w:rsidR="004B732C">
        <w:t xml:space="preserve"> não há necessidade de se pagar nada no curso do processo, porque o contrato está quitado por força da renegociação </w:t>
      </w:r>
      <w:r w:rsidR="00440146">
        <w:t>feita pelo contrato retromencionado.</w:t>
      </w:r>
      <w:r w:rsidR="00440146">
        <w:rPr>
          <w:sz w:val="20"/>
          <w:szCs w:val="20"/>
        </w:rPr>
        <w:t xml:space="preserve"> </w:t>
      </w:r>
    </w:p>
    <w:p w14:paraId="3C6C0B95" w14:textId="77777777" w:rsidR="001704EC" w:rsidRPr="00BB3951" w:rsidRDefault="001704EC" w:rsidP="001704EC">
      <w:pPr>
        <w:pStyle w:val="CORPOHOMERO"/>
        <w:rPr>
          <w:sz w:val="20"/>
          <w:szCs w:val="20"/>
        </w:rPr>
      </w:pPr>
    </w:p>
    <w:p w14:paraId="0F8DF27A" w14:textId="2FC8F5AD" w:rsidR="002771FE" w:rsidRPr="00BB3951" w:rsidRDefault="00C83DE8" w:rsidP="002771FE">
      <w:pPr>
        <w:tabs>
          <w:tab w:val="left" w:pos="2160"/>
        </w:tabs>
        <w:spacing w:after="0" w:line="360" w:lineRule="auto"/>
        <w:ind w:firstLine="567"/>
        <w:jc w:val="both"/>
        <w:rPr>
          <w:rFonts w:asciiTheme="minorHAnsi" w:hAnsiTheme="minorHAnsi" w:cstheme="minorHAnsi"/>
          <w:b/>
          <w:sz w:val="24"/>
          <w:szCs w:val="24"/>
          <w:u w:val="single"/>
        </w:rPr>
      </w:pPr>
      <w:commentRangeStart w:id="0"/>
      <w:r>
        <w:rPr>
          <w:rFonts w:asciiTheme="minorHAnsi" w:hAnsiTheme="minorHAnsi" w:cstheme="minorHAnsi"/>
          <w:b/>
          <w:sz w:val="24"/>
          <w:szCs w:val="24"/>
          <w:u w:val="single"/>
        </w:rPr>
        <w:t>I</w:t>
      </w:r>
      <w:r w:rsidR="002771FE" w:rsidRPr="00BB3951">
        <w:rPr>
          <w:rFonts w:asciiTheme="minorHAnsi" w:hAnsiTheme="minorHAnsi" w:cstheme="minorHAnsi"/>
          <w:b/>
          <w:sz w:val="24"/>
          <w:szCs w:val="24"/>
          <w:u w:val="single"/>
        </w:rPr>
        <w:t xml:space="preserve">II. </w:t>
      </w:r>
      <w:r w:rsidR="00E777D9" w:rsidRPr="00BB3951">
        <w:rPr>
          <w:rFonts w:asciiTheme="minorHAnsi" w:hAnsiTheme="minorHAnsi" w:cstheme="minorHAnsi"/>
          <w:b/>
          <w:sz w:val="24"/>
          <w:szCs w:val="24"/>
          <w:u w:val="single"/>
        </w:rPr>
        <w:t>4</w:t>
      </w:r>
      <w:r w:rsidR="002771FE"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3638A15C"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E777D9" w:rsidRPr="00BB3951">
        <w:t xml:space="preserve">e </w:t>
      </w:r>
      <w:r w:rsidR="003C6866" w:rsidRPr="00BB3951">
        <w:t xml:space="preserve">da capitalização de juros </w:t>
      </w:r>
      <w:r w:rsidRPr="00BB3951">
        <w:t>afasta a mora do consumidor.</w:t>
      </w:r>
      <w:r w:rsidRPr="00BB3951">
        <w:rPr>
          <w:rStyle w:val="Refdenotaderodap"/>
          <w:rFonts w:asciiTheme="minorHAnsi" w:hAnsiTheme="minorHAnsi" w:cstheme="minorHAnsi"/>
          <w:sz w:val="24"/>
          <w:szCs w:val="24"/>
        </w:rPr>
        <w:footnoteReference w:id="10"/>
      </w:r>
    </w:p>
    <w:p w14:paraId="6E123AAF" w14:textId="77777777"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isto é, juros remuneratórios. Mais do que isso. Está demonstrada a clara abusividade deste encargo contratual.</w:t>
      </w:r>
    </w:p>
    <w:p w14:paraId="7058762D" w14:textId="77777777" w:rsidR="002771FE" w:rsidRPr="00BB3951" w:rsidRDefault="002771FE" w:rsidP="00E777D9">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Pr="00BB3951">
        <w:t xml:space="preserve">das </w:t>
      </w:r>
      <w:r w:rsidRPr="00BB3951">
        <w:rPr>
          <w:u w:val="single"/>
        </w:rPr>
        <w:t>prestações pagas de modo impontual</w:t>
      </w:r>
      <w:r w:rsidRPr="00BB3951">
        <w:t xml:space="preserve"> antes do ajuizamento da ação, como também para o </w:t>
      </w:r>
      <w:r w:rsidRPr="00BB3951">
        <w:rPr>
          <w:u w:val="single"/>
        </w:rPr>
        <w:t>pagamento das prestações feitos no curso do processo</w:t>
      </w:r>
      <w:r w:rsidRPr="00BB3951">
        <w:t xml:space="preserve"> apenas sob o valor incontroverso desta demanda. </w:t>
      </w:r>
      <w:commentRangeEnd w:id="0"/>
      <w:r w:rsidR="006E4552">
        <w:rPr>
          <w:rStyle w:val="Refdecomentrio"/>
        </w:rPr>
        <w:commentReference w:id="0"/>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4B85C13E"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I</w:t>
      </w:r>
      <w:r w:rsidR="00C83DE8">
        <w:rPr>
          <w:rFonts w:asciiTheme="minorHAnsi" w:hAnsiTheme="minorHAnsi" w:cstheme="minorHAnsi"/>
          <w:b/>
          <w:sz w:val="24"/>
          <w:szCs w:val="24"/>
          <w:u w:val="single"/>
        </w:rPr>
        <w:t>I</w:t>
      </w:r>
      <w:r w:rsidRPr="00BB3951">
        <w:rPr>
          <w:rFonts w:asciiTheme="minorHAnsi" w:hAnsiTheme="minorHAnsi" w:cstheme="minorHAnsi"/>
          <w:b/>
          <w:sz w:val="24"/>
          <w:szCs w:val="24"/>
          <w:u w:val="single"/>
        </w:rPr>
        <w:t xml:space="preserve">I. </w:t>
      </w:r>
      <w:r w:rsidR="003C6866" w:rsidRPr="00BB3951">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76095C2D" w14:textId="77777777" w:rsidR="00D23AF5" w:rsidRPr="00BB3951" w:rsidRDefault="00D23AF5" w:rsidP="00D23AF5">
      <w:pPr>
        <w:tabs>
          <w:tab w:val="left" w:pos="2160"/>
        </w:tabs>
        <w:spacing w:after="0" w:line="360" w:lineRule="auto"/>
        <w:ind w:firstLine="1985"/>
        <w:jc w:val="both"/>
        <w:rPr>
          <w:rFonts w:asciiTheme="minorHAnsi" w:hAnsiTheme="minorHAnsi" w:cstheme="minorHAnsi"/>
          <w:sz w:val="24"/>
          <w:szCs w:val="24"/>
        </w:rPr>
      </w:pP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19D8B842"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00BB3951">
        <w:rPr>
          <w:rStyle w:val="Refdenotaderodap"/>
          <w:rFonts w:asciiTheme="minorHAnsi" w:hAnsiTheme="minorHAnsi" w:cstheme="minorHAnsi"/>
          <w:b/>
          <w:bCs/>
          <w:sz w:val="24"/>
          <w:szCs w:val="24"/>
        </w:rPr>
        <w:footnoteReference w:id="11"/>
      </w:r>
      <w:r w:rsidRPr="00BB3951">
        <w:t xml:space="preserve"> à parte autora, a título de repetição de indébito, a quantia que pagou a mais em relação </w:t>
      </w:r>
      <w:r w:rsidR="00981ADB">
        <w:t xml:space="preserve">a todos os contratos </w:t>
      </w:r>
      <w:r w:rsidRPr="00BB3951">
        <w:t>questionado</w:t>
      </w:r>
      <w:r w:rsidR="00981ADB">
        <w:t>s</w:t>
      </w:r>
      <w:r w:rsidRPr="00BB3951">
        <w:t xml:space="preserve"> (referente aos valores cobrados a maior com aplicação abusiva da taxa de juros remuneratórios),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1E2098FE" w:rsidR="000F5A50" w:rsidRPr="00BB3951" w:rsidRDefault="00C83DE8" w:rsidP="000F5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0F5A50" w:rsidRPr="00BB3951">
        <w:rPr>
          <w:rFonts w:asciiTheme="minorHAnsi" w:hAnsiTheme="minorHAnsi" w:cstheme="minorHAnsi"/>
          <w:b/>
          <w:sz w:val="24"/>
          <w:szCs w:val="24"/>
          <w:u w:val="single"/>
        </w:rPr>
        <w:t xml:space="preserve">. </w:t>
      </w:r>
      <w:r w:rsidR="00D23B4E" w:rsidRPr="00BB3951">
        <w:rPr>
          <w:rFonts w:asciiTheme="minorHAnsi" w:hAnsiTheme="minorHAnsi" w:cstheme="minorHAnsi"/>
          <w:b/>
          <w:sz w:val="24"/>
          <w:szCs w:val="24"/>
          <w:u w:val="single"/>
        </w:rPr>
        <w:t>6</w:t>
      </w:r>
      <w:r w:rsidR="000F5A50" w:rsidRPr="00BB3951">
        <w:rPr>
          <w:rFonts w:asciiTheme="minorHAnsi" w:hAnsiTheme="minorHAnsi" w:cstheme="minorHAnsi"/>
          <w:b/>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77777777" w:rsidR="00014E9D" w:rsidRPr="00BB3951" w:rsidRDefault="00014E9D" w:rsidP="00B03D30">
      <w:pPr>
        <w:pStyle w:val="CORPOHOMERO"/>
      </w:pPr>
      <w:r w:rsidRPr="00BB3951">
        <w:t>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w:t>
      </w:r>
    </w:p>
    <w:p w14:paraId="4BCB1D37" w14:textId="62A71F29" w:rsidR="0092335A" w:rsidRDefault="00014E9D" w:rsidP="00B03D30">
      <w:pPr>
        <w:pStyle w:val="CORPOHOMERO"/>
        <w:rPr>
          <w:u w:val="single"/>
        </w:rPr>
      </w:pPr>
      <w:r w:rsidRPr="00BB3951">
        <w:t xml:space="preserve">Além disso, é certo que a </w:t>
      </w:r>
      <w:r w:rsidRPr="00BB3951">
        <w:rPr>
          <w:b/>
          <w:bCs/>
        </w:rPr>
        <w:t>parte demandante é pessoa hipossuficiente</w:t>
      </w:r>
      <w:r w:rsidRPr="00BB3951">
        <w:t xml:space="preserve">, tanto pelo prisma </w:t>
      </w:r>
      <w:r w:rsidRPr="00BB3951">
        <w:rPr>
          <w:u w:val="single"/>
        </w:rPr>
        <w:t>econômico</w:t>
      </w:r>
      <w:r w:rsidRPr="00BB3951">
        <w:t xml:space="preserve"> (v. provas anexas) quanto pelo </w:t>
      </w:r>
      <w:r w:rsidRPr="00BB3951">
        <w:rPr>
          <w:u w:val="single"/>
        </w:rPr>
        <w:t>técnico</w:t>
      </w:r>
      <w:r w:rsidRPr="00BB3951">
        <w:t>.  Aqui incide sobre o Consumidor a plena dificuldade</w:t>
      </w:r>
      <w:r w:rsidR="0092335A">
        <w:t xml:space="preserve"> </w:t>
      </w:r>
      <w:r w:rsidRPr="00BB3951">
        <w:t xml:space="preserve">de produzir provas em seu favor, uma vez que a parte autora </w:t>
      </w:r>
      <w:r w:rsidRPr="00BB3951">
        <w:rPr>
          <w:u w:val="single"/>
        </w:rPr>
        <w:t xml:space="preserve">não tem a mínima condição de demonstrar </w:t>
      </w:r>
      <w:r w:rsidRPr="00F94514">
        <w:t>que há justificativa concreta que dá suporte à taxa de juros praticada</w:t>
      </w:r>
      <w:r w:rsidR="0092335A" w:rsidRPr="00F94514">
        <w:t>, em especial não lhe é possível demonstrar: o custo da captação dos recursos no local e época do contrato; análise do perfil de risco de crédito do tomador, entre outros aspectos.</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00BB3951">
        <w:rPr>
          <w:rStyle w:val="Refdenotaderodap"/>
          <w:rFonts w:asciiTheme="minorHAnsi" w:hAnsiTheme="minorHAnsi" w:cstheme="minorHAnsi"/>
          <w:sz w:val="24"/>
          <w:szCs w:val="24"/>
        </w:rPr>
        <w:footnoteReference w:id="12"/>
      </w:r>
      <w:r w:rsidRPr="00BB3951">
        <w:t>.</w:t>
      </w:r>
    </w:p>
    <w:p w14:paraId="7957FA9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F351DDD" w14:textId="6C64747B" w:rsidR="000F5A50" w:rsidRPr="00BB3951" w:rsidRDefault="00666B9F"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w:t>
      </w:r>
      <w:r w:rsidR="000F5A50" w:rsidRPr="00BB3951">
        <w:rPr>
          <w:rFonts w:asciiTheme="minorHAnsi" w:hAnsiTheme="minorHAnsi" w:cstheme="minorHAnsi"/>
          <w:b/>
          <w:sz w:val="24"/>
          <w:szCs w:val="24"/>
        </w:rPr>
        <w:t xml:space="preserve">V – DA TUTELA DE URGÊNCIA </w:t>
      </w:r>
      <w:r w:rsidR="00AB2779">
        <w:rPr>
          <w:rFonts w:asciiTheme="minorHAnsi" w:hAnsiTheme="minorHAnsi" w:cstheme="minorHAnsi"/>
          <w:b/>
          <w:sz w:val="24"/>
          <w:szCs w:val="24"/>
        </w:rPr>
        <w:t xml:space="preserve">COM RELAÇÃO AO CONTRATO N. </w:t>
      </w:r>
      <w:r w:rsidR="00AB2779" w:rsidRPr="00AB2779">
        <w:rPr>
          <w:rFonts w:asciiTheme="minorHAnsi" w:hAnsiTheme="minorHAnsi" w:cstheme="minorHAnsi"/>
          <w:b/>
          <w:sz w:val="24"/>
          <w:szCs w:val="24"/>
        </w:rPr>
        <w:t>050780010825</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3504A5F" w14:textId="64D59701" w:rsidR="00E41C4A" w:rsidRDefault="00666B9F" w:rsidP="00E41C4A">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w:t>
      </w:r>
      <w:r w:rsidR="00E41C4A" w:rsidRPr="00BB3951">
        <w:rPr>
          <w:rFonts w:asciiTheme="minorHAnsi" w:hAnsiTheme="minorHAnsi" w:cstheme="minorHAnsi"/>
          <w:b/>
          <w:sz w:val="24"/>
          <w:szCs w:val="24"/>
          <w:u w:val="single"/>
        </w:rPr>
        <w:t>V. 1. tutela antecipatória</w:t>
      </w:r>
      <w:r w:rsidR="0011548D">
        <w:rPr>
          <w:rFonts w:asciiTheme="minorHAnsi" w:hAnsiTheme="minorHAnsi" w:cstheme="minorHAnsi"/>
          <w:b/>
          <w:sz w:val="24"/>
          <w:szCs w:val="24"/>
          <w:u w:val="single"/>
        </w:rPr>
        <w:t xml:space="preserve"> </w:t>
      </w:r>
    </w:p>
    <w:p w14:paraId="3844779A" w14:textId="77777777" w:rsidR="0011548D" w:rsidRPr="00BB3951" w:rsidRDefault="0011548D" w:rsidP="00E41C4A">
      <w:pPr>
        <w:tabs>
          <w:tab w:val="left" w:pos="2160"/>
        </w:tabs>
        <w:spacing w:after="0" w:line="360" w:lineRule="auto"/>
        <w:ind w:firstLine="567"/>
        <w:jc w:val="both"/>
        <w:rPr>
          <w:rFonts w:asciiTheme="minorHAnsi" w:hAnsiTheme="minorHAnsi" w:cstheme="minorHAnsi"/>
          <w:b/>
          <w:sz w:val="24"/>
          <w:szCs w:val="24"/>
          <w:u w:val="single"/>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3AD37FE5" w:rsidR="00E41746" w:rsidRPr="00BB3951" w:rsidRDefault="000F5A50" w:rsidP="001768D8">
      <w:pPr>
        <w:pStyle w:val="CORPOHOMERO"/>
      </w:pPr>
      <w:r w:rsidRPr="00BB3951">
        <w:t xml:space="preserve">Os </w:t>
      </w:r>
      <w:r w:rsidRPr="00BB3951">
        <w:rPr>
          <w:b/>
          <w:u w:val="single"/>
        </w:rPr>
        <w:t>elementos coligidos na inicial sumariamente demonstram a verossimilhança dos fatos deduzidos na exordial</w:t>
      </w:r>
      <w:r w:rsidRPr="00BB3951">
        <w:t xml:space="preserve">, assim como também trazem à tona plausibilidade jurídica dos pedidos formulados pelo(a) demandante. </w:t>
      </w:r>
      <w:r w:rsidR="00E41746" w:rsidRPr="00BB3951">
        <w:t xml:space="preserve">Ou seja, </w:t>
      </w:r>
      <w:r w:rsidR="00E41746" w:rsidRPr="00BB3951">
        <w:rPr>
          <w:u w:val="single"/>
        </w:rPr>
        <w:t xml:space="preserve">há evidências de que os </w:t>
      </w:r>
      <w:r w:rsidR="00E41746" w:rsidRPr="00666B9F">
        <w:rPr>
          <w:b/>
          <w:bCs/>
          <w:u w:val="single"/>
        </w:rPr>
        <w:t>juros</w:t>
      </w:r>
      <w:r w:rsidR="00E41746" w:rsidRPr="00BB3951">
        <w:rPr>
          <w:u w:val="single"/>
        </w:rPr>
        <w:t xml:space="preserve"> praticados no contrato</w:t>
      </w:r>
      <w:r w:rsidR="00AB2779">
        <w:rPr>
          <w:u w:val="single"/>
        </w:rPr>
        <w:t xml:space="preserve"> em epígrafe </w:t>
      </w:r>
      <w:r w:rsidR="00E41746" w:rsidRPr="00BB3951">
        <w:rPr>
          <w:u w:val="single"/>
        </w:rPr>
        <w:t>são completamente abusivos</w:t>
      </w:r>
      <w:r w:rsidR="00E41746" w:rsidRPr="00BB3951">
        <w:t>, eis que sobejam muito a taxa média divulgada pelo Banco Central do Brasil (</w:t>
      </w:r>
      <w:r w:rsidR="00D87D91">
        <w:rPr>
          <w:b/>
          <w:bCs/>
        </w:rPr>
        <w:t>a taxa contratual excede a média do Bacen em 339,12</w:t>
      </w:r>
      <w:r w:rsidR="00E41746" w:rsidRPr="00BB3951">
        <w:rPr>
          <w:b/>
          <w:bCs/>
        </w:rPr>
        <w:t>%</w:t>
      </w:r>
      <w:r w:rsidR="00E41746" w:rsidRPr="00BB3951">
        <w:t>).</w:t>
      </w:r>
      <w:r w:rsidR="00666B9F">
        <w:t xml:space="preserve"> Isso resulta no fato de que </w:t>
      </w:r>
      <w:r w:rsidR="00666B9F" w:rsidRPr="002A3879">
        <w:rPr>
          <w:u w:val="single"/>
        </w:rPr>
        <w:t>a parte demandante deveria estar pagando uma prestação</w:t>
      </w:r>
      <w:r w:rsidR="00D87D91">
        <w:rPr>
          <w:u w:val="single"/>
        </w:rPr>
        <w:t xml:space="preserve"> mensal</w:t>
      </w:r>
      <w:r w:rsidR="00666B9F" w:rsidRPr="002A3879">
        <w:rPr>
          <w:u w:val="single"/>
        </w:rPr>
        <w:t xml:space="preserve"> de R$ </w:t>
      </w:r>
      <w:r w:rsidR="00D87D91">
        <w:rPr>
          <w:u w:val="single"/>
        </w:rPr>
        <w:t>84,</w:t>
      </w:r>
      <w:proofErr w:type="gramStart"/>
      <w:r w:rsidR="00D87D91">
        <w:rPr>
          <w:u w:val="single"/>
        </w:rPr>
        <w:t xml:space="preserve">56 </w:t>
      </w:r>
      <w:r w:rsidR="002A3879">
        <w:t xml:space="preserve"> enquanto</w:t>
      </w:r>
      <w:proofErr w:type="gramEnd"/>
      <w:r w:rsidR="002A3879">
        <w:t xml:space="preserve"> tem que pagar contratualmente R$ </w:t>
      </w:r>
      <w:r w:rsidR="00D87D91">
        <w:t>150,00.</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00BB3951">
        <w:rPr>
          <w:rStyle w:val="Refdenotaderodap"/>
          <w:rFonts w:asciiTheme="minorHAnsi" w:hAnsiTheme="minorHAnsi" w:cstheme="minorHAnsi"/>
          <w:sz w:val="24"/>
          <w:szCs w:val="24"/>
        </w:rPr>
        <w:footnoteReference w:id="13"/>
      </w:r>
      <w:r w:rsidRPr="00BB3951">
        <w:t xml:space="preserve">  </w:t>
      </w:r>
    </w:p>
    <w:p w14:paraId="171978DC" w14:textId="3B1E8D82" w:rsidR="000F5A50" w:rsidRPr="00BB3951" w:rsidRDefault="000F5A50" w:rsidP="001768D8">
      <w:pPr>
        <w:pStyle w:val="CORPOHOMERO"/>
      </w:pPr>
      <w:r w:rsidRPr="00BB3951">
        <w:t xml:space="preserve">O </w:t>
      </w:r>
      <w:r w:rsidRPr="00BB3951">
        <w:rPr>
          <w:b/>
          <w:bCs/>
          <w:u w:val="single"/>
        </w:rPr>
        <w:t>perigo da demora</w:t>
      </w:r>
      <w:r w:rsidRPr="00BB3951">
        <w:t xml:space="preserve"> exsurge dos elementos juntados nesta peça inaugural, na medida em que a espera por um provimento jurisdicional final (em sede de cognição exauriente) prejudicará sobremaneira, ou quiçá tornará imprestável, o direito da parte demandante buscado nesta demanda. </w:t>
      </w:r>
      <w:r w:rsidR="001A4EFD" w:rsidRPr="00BB3951">
        <w:t>Isto porque o abuso do direito pela Demandada (prática de juros extorsivos) compromete o cumprimento do contrato e a própria subsistência mensal da parte Demandante.</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5A805810" w:rsidR="00C06512" w:rsidRDefault="00C06512" w:rsidP="001768D8">
      <w:pPr>
        <w:pStyle w:val="CORPOHOMERO"/>
      </w:pPr>
      <w:r w:rsidRPr="00BB3951">
        <w:t xml:space="preserve">Dessa arte, merece ser concedida a tutela de urgência satisfativa (antecipada) no caso presente, para determinar que </w:t>
      </w:r>
      <w:r w:rsidRPr="00BB3951">
        <w:rPr>
          <w:b/>
          <w:bCs/>
        </w:rPr>
        <w:t xml:space="preserve">a </w:t>
      </w:r>
      <w:r w:rsidR="00D87D91">
        <w:rPr>
          <w:b/>
          <w:bCs/>
        </w:rPr>
        <w:t>d</w:t>
      </w:r>
      <w:r w:rsidRPr="00BB3951">
        <w:rPr>
          <w:b/>
          <w:bCs/>
        </w:rPr>
        <w:t xml:space="preserve">emandada </w:t>
      </w:r>
      <w:r w:rsidR="00C23655">
        <w:rPr>
          <w:b/>
          <w:bCs/>
        </w:rPr>
        <w:t xml:space="preserve">debite as prestações vincendas na conta bancária da parte demandante </w:t>
      </w:r>
      <w:r w:rsidRPr="00BB3951">
        <w:rPr>
          <w:u w:val="single"/>
        </w:rPr>
        <w:t>no exato valor apontado como incontroverso nesta demanda</w:t>
      </w:r>
      <w:r w:rsidRPr="00BB3951">
        <w:t xml:space="preserve">, ou seja, R$ </w:t>
      </w:r>
      <w:r w:rsidR="00D87D91">
        <w:t xml:space="preserve">84,56 no que diz respeito ao contrato n. </w:t>
      </w:r>
      <w:r w:rsidR="00DC19FA" w:rsidRPr="00DC19FA">
        <w:t>050780010825</w:t>
      </w:r>
      <w:r w:rsidR="00C23655">
        <w:t>.</w:t>
      </w:r>
    </w:p>
    <w:p w14:paraId="608ED81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8FB0C9" w14:textId="0BF9329B" w:rsidR="00E41C4A" w:rsidRPr="00BB3951" w:rsidRDefault="00C23655" w:rsidP="00E41C4A">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IV</w:t>
      </w:r>
      <w:r w:rsidR="00E41C4A" w:rsidRPr="00BB3951">
        <w:rPr>
          <w:rFonts w:asciiTheme="minorHAnsi" w:hAnsiTheme="minorHAnsi" w:cstheme="minorHAnsi"/>
          <w:b/>
          <w:sz w:val="24"/>
          <w:szCs w:val="24"/>
          <w:u w:val="single"/>
        </w:rPr>
        <w:t>. 2. tutela acautelatória</w:t>
      </w:r>
    </w:p>
    <w:p w14:paraId="0F1EA599" w14:textId="77777777" w:rsidR="001768D8" w:rsidRPr="00BB3951" w:rsidRDefault="001768D8" w:rsidP="001768D8">
      <w:pPr>
        <w:pStyle w:val="CORPOHOMERO"/>
      </w:pPr>
      <w:r w:rsidRPr="00BB3951">
        <w:t xml:space="preserve">Como corolário da tutela antecipada (satisfativa), é necessário que neste processo também se </w:t>
      </w:r>
      <w:r w:rsidRPr="00BB3951">
        <w:rPr>
          <w:b/>
          <w:bCs/>
        </w:rPr>
        <w:t>assegure o direito à revisão de cláusulas contratuais abusivas</w:t>
      </w:r>
      <w:r w:rsidRPr="00BB3951">
        <w:t xml:space="preserve"> </w:t>
      </w:r>
      <w:r w:rsidRPr="00BB3951">
        <w:rPr>
          <w:u w:val="single"/>
        </w:rPr>
        <w:t xml:space="preserve">sem o risco de a consumidora ter seu nome inserido nos cadastros de inadimplentes </w:t>
      </w:r>
      <w:r w:rsidRPr="00BB3951">
        <w:t xml:space="preserve">ou </w:t>
      </w:r>
      <w:r w:rsidRPr="00BB3951">
        <w:rPr>
          <w:u w:val="single"/>
        </w:rPr>
        <w:t>sofra eventual ação de cobrança/busca e apreensão</w:t>
      </w:r>
      <w:r w:rsidRPr="00BB3951">
        <w:t xml:space="preserve"> (conhecimento ou executiva) do contrato no seu valor global.</w:t>
      </w:r>
    </w:p>
    <w:p w14:paraId="5A769EBE" w14:textId="77777777" w:rsidR="001768D8" w:rsidRPr="00BB3951" w:rsidRDefault="001768D8" w:rsidP="001768D8">
      <w:pPr>
        <w:pStyle w:val="CORPOHOMERO"/>
      </w:pPr>
      <w:r w:rsidRPr="00BB3951">
        <w:t xml:space="preserve">A </w:t>
      </w:r>
      <w:r w:rsidRPr="00BB3951">
        <w:rPr>
          <w:b/>
          <w:bCs/>
        </w:rPr>
        <w:t>probabilidade do direito</w:t>
      </w:r>
      <w:r w:rsidRPr="00BB3951">
        <w:t xml:space="preserve"> aqui é idêntica à tutela antecipada, ou seja, já está fartamente demonstrado que a revisão do contrato está calcada em provas e fundamentos jurídicos idôneos.</w:t>
      </w:r>
    </w:p>
    <w:p w14:paraId="171F0838" w14:textId="77777777" w:rsidR="001768D8" w:rsidRPr="00BB3951" w:rsidRDefault="001768D8" w:rsidP="001768D8">
      <w:pPr>
        <w:pStyle w:val="CORPOHOMERO"/>
      </w:pPr>
      <w:r w:rsidRPr="00BB3951">
        <w:t xml:space="preserve">A </w:t>
      </w:r>
      <w:r w:rsidRPr="00BB3951">
        <w:rPr>
          <w:b/>
          <w:bCs/>
        </w:rPr>
        <w:t>urgência</w:t>
      </w:r>
      <w:r w:rsidRPr="00BB3951">
        <w:t xml:space="preserve"> do caso advém do fato de que </w:t>
      </w:r>
      <w:r w:rsidRPr="00BB3951">
        <w:rPr>
          <w:u w:val="single"/>
        </w:rPr>
        <w:t>eventual anotação do nome da parte consumidora no rol de maus pagadores</w:t>
      </w:r>
      <w:r w:rsidRPr="00BB3951">
        <w:t xml:space="preserve"> ensejaria o fechamento do mercado de consumo para a ela, que depende de seu bom nome para continuar comprando.</w:t>
      </w:r>
    </w:p>
    <w:p w14:paraId="1CAFDF83" w14:textId="6E9783FA" w:rsidR="001768D8" w:rsidRPr="00BB3951" w:rsidRDefault="001768D8" w:rsidP="001768D8">
      <w:pPr>
        <w:pStyle w:val="CORPOHOMERO"/>
      </w:pPr>
      <w:r w:rsidRPr="00BB3951">
        <w:t xml:space="preserve">Ainda, eventual cobrança judicial do contrato poderia ensejar a </w:t>
      </w:r>
      <w:r w:rsidR="00371DD2">
        <w:t>constrição de bens da parte demandante</w:t>
      </w:r>
      <w:r w:rsidRPr="00BB3951">
        <w:t xml:space="preserve">, quando </w:t>
      </w:r>
      <w:r w:rsidR="00371DD2">
        <w:t>esta</w:t>
      </w:r>
      <w:r w:rsidRPr="00BB3951">
        <w:t xml:space="preserve"> não se recusa a pagar sua dívida, mas sim que ela seja fixada em valor justo.</w:t>
      </w:r>
    </w:p>
    <w:p w14:paraId="05D6DFCB" w14:textId="12E96159" w:rsidR="001768D8" w:rsidRPr="00BB3951" w:rsidRDefault="001768D8" w:rsidP="001768D8">
      <w:pPr>
        <w:pStyle w:val="CORPOHOMERO"/>
      </w:pPr>
      <w:r w:rsidRPr="00BB3951">
        <w:t>Aqui é curial que se estabeleça um paralelo com o entendimento</w:t>
      </w:r>
      <w:r w:rsidRPr="00BB3951">
        <w:rPr>
          <w:rStyle w:val="Refdenotaderodap"/>
          <w:rFonts w:asciiTheme="minorHAnsi" w:hAnsiTheme="minorHAnsi" w:cstheme="minorHAnsi"/>
          <w:sz w:val="24"/>
          <w:szCs w:val="24"/>
        </w:rPr>
        <w:footnoteReference w:id="14"/>
      </w:r>
      <w:r w:rsidRPr="00BB3951">
        <w:t xml:space="preserve"> de que a revisão dos juros remuneratórios enseja o afastamento da mora. Se isso é uma decorrência da revisão dos juros, não há razão para se tolerar </w:t>
      </w:r>
      <w:r w:rsidR="007A4919">
        <w:t>medidas relativas à cobrança de eventual débito</w:t>
      </w:r>
      <w:r w:rsidRPr="00BB3951">
        <w:t xml:space="preserve"> enquanto </w:t>
      </w:r>
      <w:r w:rsidR="007A4919">
        <w:t>este</w:t>
      </w:r>
      <w:r w:rsidRPr="00BB3951">
        <w:t xml:space="preserve"> está sendo discutido.</w:t>
      </w:r>
    </w:p>
    <w:p w14:paraId="7A3030AF" w14:textId="5C258AF7" w:rsidR="001768D8" w:rsidRPr="00BB3951" w:rsidRDefault="001768D8" w:rsidP="001768D8">
      <w:pPr>
        <w:pStyle w:val="CORPOHOMERO"/>
      </w:pPr>
      <w:r w:rsidRPr="00BB3951">
        <w:t xml:space="preserve">Neste passo, é inquestionável que </w:t>
      </w:r>
      <w:r w:rsidRPr="00BB3951">
        <w:rPr>
          <w:b/>
          <w:bCs/>
          <w:u w:val="single"/>
        </w:rPr>
        <w:t>a não concessão da tutela cautelar causará irremediável prejuízo ao resultado útil do processo</w:t>
      </w:r>
      <w:r w:rsidRPr="00BB3951">
        <w:t xml:space="preserve">, já que com as medidas de cobrança pela instituição financeira a parte Demandante poderá chegar à situação de ter vencido esta ação revisional, porém ter seu nome jogado na lama com a negativação ou ainda ter a grave situação de ter </w:t>
      </w:r>
      <w:r w:rsidR="001F0C63">
        <w:t>bens constritos em eventual ação judicial</w:t>
      </w:r>
      <w:r w:rsidRPr="00BB3951">
        <w:t>.</w:t>
      </w:r>
    </w:p>
    <w:p w14:paraId="1FA737B6" w14:textId="77777777" w:rsidR="001768D8" w:rsidRPr="00BB3951" w:rsidRDefault="001768D8" w:rsidP="001768D8">
      <w:pPr>
        <w:pStyle w:val="CORPOHOMERO"/>
      </w:pPr>
      <w:r w:rsidRPr="00BB3951">
        <w:t>Enfim, a parte Demandante também continuará pagando a parte incontroversa nos moldes contratados.</w:t>
      </w:r>
      <w:r w:rsidRPr="00BB3951">
        <w:rPr>
          <w:rStyle w:val="Refdenotaderodap"/>
          <w:rFonts w:asciiTheme="minorHAnsi" w:hAnsiTheme="minorHAnsi" w:cstheme="minorHAnsi"/>
          <w:sz w:val="24"/>
          <w:szCs w:val="24"/>
        </w:rPr>
        <w:footnoteReference w:id="15"/>
      </w:r>
    </w:p>
    <w:p w14:paraId="42F9698C" w14:textId="1AF2CD1E" w:rsidR="001768D8" w:rsidRPr="00BB3951" w:rsidRDefault="001768D8" w:rsidP="001768D8">
      <w:pPr>
        <w:pStyle w:val="CORPOHOMERO"/>
      </w:pPr>
      <w:r w:rsidRPr="00BB3951">
        <w:t xml:space="preserve">Desse modo, merece também, ser concedida a </w:t>
      </w:r>
      <w:r w:rsidRPr="00BB3951">
        <w:rPr>
          <w:b/>
          <w:bCs/>
        </w:rPr>
        <w:t>tutela de urgência cautelar</w:t>
      </w:r>
      <w:r w:rsidRPr="00BB3951">
        <w:t xml:space="preserve"> no caso presente, para determinar que </w:t>
      </w:r>
      <w:r w:rsidRPr="00DE2C96">
        <w:t>a parte ré</w:t>
      </w:r>
      <w:r w:rsidR="00DE2C96" w:rsidRPr="00DE2C96">
        <w:t xml:space="preserve">, com relação ao </w:t>
      </w:r>
      <w:r w:rsidR="00DE2C96" w:rsidRPr="00DE2C96">
        <w:rPr>
          <w:b/>
          <w:bCs/>
        </w:rPr>
        <w:t xml:space="preserve">contrato n. </w:t>
      </w:r>
      <w:r w:rsidR="00DE2C96" w:rsidRPr="00DE2C96">
        <w:rPr>
          <w:b/>
          <w:bCs/>
        </w:rPr>
        <w:t>050780010825</w:t>
      </w:r>
      <w:r w:rsidRPr="00BB3951">
        <w:rPr>
          <w:u w:val="single"/>
        </w:rPr>
        <w:t xml:space="preserve"> se abstenha de realizar a inscrição do nome da autora nos cadastros de devedores</w:t>
      </w:r>
      <w:r w:rsidRPr="00BB3951">
        <w:t xml:space="preserve"> ou que </w:t>
      </w:r>
      <w:r w:rsidRPr="00BB3951">
        <w:rPr>
          <w:u w:val="single"/>
        </w:rPr>
        <w:t xml:space="preserve">realize a cobrança judicial do débito, incluindo a vedação de promover </w:t>
      </w:r>
      <w:r w:rsidR="001F0C63">
        <w:rPr>
          <w:u w:val="single"/>
        </w:rPr>
        <w:t>a constrição de bens</w:t>
      </w:r>
      <w:r w:rsidRPr="00BB3951">
        <w:t xml:space="preserve"> enquanto estiver pendente </w:t>
      </w:r>
      <w:proofErr w:type="gramStart"/>
      <w:r w:rsidRPr="00BB3951">
        <w:t>esta</w:t>
      </w:r>
      <w:proofErr w:type="gramEnd"/>
      <w:r w:rsidRPr="00BB3951">
        <w:t xml:space="preserve"> revisional.</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2C44B85"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V – DO DESINTERESSE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E08DD4F" w14:textId="77777777" w:rsidR="000F5A50" w:rsidRPr="00BB3951" w:rsidRDefault="000F5A50" w:rsidP="00E204E3">
      <w:pPr>
        <w:pStyle w:val="CORPOHOMERO"/>
      </w:pPr>
      <w:r w:rsidRPr="00BB3951">
        <w:t>Diante da premência na efetivação da tutela pretendida e da natureza do direito envolvido, manifesta-se o desinteresse inicial na autocomposição do litígio, a teor do que determina o art. 334, § 5º do Código de Processo Civil.</w:t>
      </w:r>
    </w:p>
    <w:p w14:paraId="3D909EBD" w14:textId="77777777" w:rsidR="000F5A50" w:rsidRPr="00BB3951" w:rsidRDefault="000F5A50" w:rsidP="00E204E3">
      <w:pPr>
        <w:pStyle w:val="CORPOHOMERO"/>
        <w:rPr>
          <w:u w:val="single"/>
        </w:rPr>
      </w:pPr>
      <w:r w:rsidRPr="00BB3951">
        <w:t xml:space="preserve">Assim, dada inviabilidade de autocomposição, </w:t>
      </w:r>
      <w:r w:rsidRPr="00BB3951">
        <w:rPr>
          <w:u w:val="single"/>
        </w:rPr>
        <w:t>pugna-se pela dispensa da audiência de composição do litígio (art. 334, §4º).</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2FE5FF4"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VI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000F5A50" w:rsidP="008D0F7A">
      <w:pPr>
        <w:pStyle w:val="CORPOHOMERO"/>
      </w:pPr>
      <w:r w:rsidRPr="00BB3951">
        <w:t>Ante o exposto, requer-se sejam deferidos os seguintes requerimentos e pedidos:</w:t>
      </w:r>
    </w:p>
    <w:p w14:paraId="0F5DAA1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Cs w:val="24"/>
        </w:rPr>
      </w:pPr>
    </w:p>
    <w:p w14:paraId="1751D047" w14:textId="77777777"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a concessão</w:t>
      </w:r>
      <w:r w:rsidRPr="00BB3951">
        <w:rPr>
          <w:rFonts w:asciiTheme="minorHAnsi" w:hAnsiTheme="minorHAnsi" w:cstheme="minorHAnsi"/>
          <w:szCs w:val="24"/>
        </w:rPr>
        <w:t xml:space="preserve"> </w:t>
      </w:r>
      <w:r w:rsidRPr="00BB3951">
        <w:rPr>
          <w:rFonts w:asciiTheme="minorHAnsi" w:hAnsiTheme="minorHAnsi" w:cstheme="minorHAnsi"/>
          <w:b/>
          <w:szCs w:val="24"/>
        </w:rPr>
        <w:t xml:space="preserve">dos benefícios da </w:t>
      </w:r>
      <w:r w:rsidRPr="00BB3951">
        <w:rPr>
          <w:rFonts w:asciiTheme="minorHAnsi" w:hAnsiTheme="minorHAnsi" w:cstheme="minorHAnsi"/>
          <w:b/>
          <w:szCs w:val="24"/>
          <w:u w:val="single"/>
        </w:rPr>
        <w:t>justiça gratuita</w:t>
      </w:r>
      <w:r w:rsidRPr="00BB3951">
        <w:rPr>
          <w:rFonts w:asciiTheme="minorHAnsi" w:hAnsiTheme="minorHAnsi" w:cstheme="minorHAnsi"/>
          <w:b/>
          <w:szCs w:val="24"/>
        </w:rPr>
        <w:t xml:space="preserve">, </w:t>
      </w:r>
      <w:r w:rsidRPr="00BB3951">
        <w:rPr>
          <w:rFonts w:asciiTheme="minorHAnsi" w:hAnsiTheme="minorHAnsi" w:cstheme="minorHAnsi"/>
          <w:szCs w:val="24"/>
        </w:rPr>
        <w:t xml:space="preserve">diante da declaração de hipossuficiência anexa (arts. 98 e 99, CPC); </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007551C5" w:rsidP="007551C5">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Cs/>
          <w:szCs w:val="24"/>
        </w:rPr>
        <w:t>seja implantado o</w:t>
      </w:r>
      <w:r w:rsidRPr="00BB3951">
        <w:rPr>
          <w:rFonts w:asciiTheme="minorHAnsi" w:hAnsiTheme="minorHAnsi" w:cstheme="minorHAnsi"/>
          <w:b/>
          <w:szCs w:val="24"/>
        </w:rPr>
        <w:t xml:space="preserve"> JUÍZO 100% DIGITAL</w:t>
      </w:r>
      <w:r w:rsidRPr="00BB3951">
        <w:rPr>
          <w:rFonts w:asciiTheme="minorHAnsi" w:hAnsiTheme="minorHAnsi" w:cstheme="minorHAnsi"/>
          <w:bCs/>
          <w:szCs w:val="24"/>
        </w:rPr>
        <w:t xml:space="preserve"> neste feito, na forma da Resolução CNJ nº 345/2020</w:t>
      </w:r>
      <w:r w:rsidRPr="00BB3951">
        <w:rPr>
          <w:rFonts w:asciiTheme="minorHAnsi" w:hAnsiTheme="minorHAnsi" w:cstheme="minorHAnsi"/>
          <w:szCs w:val="24"/>
        </w:rPr>
        <w:t>;</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76D0DBCA" w:rsidR="00B93E77" w:rsidRPr="00BB3951" w:rsidRDefault="000F5A50" w:rsidP="009F009D">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u w:val="single"/>
        </w:rPr>
        <w:t>a tramitação prioritária do feito</w:t>
      </w:r>
      <w:r w:rsidRPr="00BB3951">
        <w:rPr>
          <w:rFonts w:asciiTheme="minorHAnsi" w:hAnsiTheme="minorHAnsi" w:cstheme="minorHAnsi"/>
          <w:szCs w:val="24"/>
        </w:rPr>
        <w:t>, na forma do art. 1.048, do Código de Processo Civil</w:t>
      </w:r>
      <w:r w:rsidR="00C9270F">
        <w:rPr>
          <w:rFonts w:asciiTheme="minorHAnsi" w:hAnsiTheme="minorHAnsi" w:cstheme="minorHAnsi"/>
          <w:szCs w:val="24"/>
        </w:rPr>
        <w:t>, em razão de ser pessoa idosa</w:t>
      </w:r>
      <w:r w:rsidRPr="00BB3951">
        <w:rPr>
          <w:rFonts w:asciiTheme="minorHAnsi" w:hAnsiTheme="minorHAnsi" w:cstheme="minorHAnsi"/>
          <w:szCs w:val="24"/>
        </w:rPr>
        <w:t>;</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2ED9CE0D"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a concessão da TUTELA DE URGÊNCIA</w:t>
      </w:r>
      <w:r w:rsidRPr="00BB3951">
        <w:rPr>
          <w:rFonts w:asciiTheme="minorHAnsi" w:hAnsiTheme="minorHAnsi" w:cstheme="minorHAnsi"/>
          <w:szCs w:val="24"/>
        </w:rPr>
        <w:t xml:space="preserve">, </w:t>
      </w:r>
      <w:r w:rsidRPr="00BB3951">
        <w:rPr>
          <w:rFonts w:asciiTheme="minorHAnsi" w:hAnsiTheme="minorHAnsi" w:cstheme="minorHAnsi"/>
          <w:szCs w:val="24"/>
          <w:u w:val="single"/>
        </w:rPr>
        <w:t>liminarmente e sem a oitiva da parte adversa</w:t>
      </w:r>
      <w:r w:rsidRPr="00BB3951">
        <w:rPr>
          <w:rFonts w:asciiTheme="minorHAnsi" w:hAnsiTheme="minorHAnsi" w:cstheme="minorHAnsi"/>
          <w:szCs w:val="24"/>
        </w:rPr>
        <w:t>, para</w:t>
      </w:r>
      <w:r w:rsidR="001F0C63">
        <w:rPr>
          <w:rFonts w:asciiTheme="minorHAnsi" w:hAnsiTheme="minorHAnsi" w:cstheme="minorHAnsi"/>
          <w:szCs w:val="24"/>
        </w:rPr>
        <w:t>:</w:t>
      </w:r>
    </w:p>
    <w:p w14:paraId="54C1E544" w14:textId="77777777" w:rsidR="000F5A50" w:rsidRPr="00BB3951" w:rsidRDefault="000F5A50" w:rsidP="000F5A50">
      <w:pPr>
        <w:pStyle w:val="PargrafodaLista"/>
        <w:spacing w:after="0" w:line="360" w:lineRule="auto"/>
        <w:rPr>
          <w:rFonts w:asciiTheme="minorHAnsi" w:hAnsiTheme="minorHAnsi" w:cstheme="minorHAnsi"/>
          <w:szCs w:val="24"/>
        </w:rPr>
      </w:pPr>
    </w:p>
    <w:p w14:paraId="745CB3FA" w14:textId="3080221B" w:rsidR="00CF7F1B" w:rsidRPr="00BB3951" w:rsidRDefault="3EBD05FD" w:rsidP="3EBD05FD">
      <w:pPr>
        <w:pStyle w:val="PargrafodaLista"/>
        <w:numPr>
          <w:ilvl w:val="2"/>
          <w:numId w:val="9"/>
        </w:numPr>
        <w:spacing w:after="0"/>
        <w:ind w:left="2552"/>
        <w:jc w:val="both"/>
        <w:rPr>
          <w:rFonts w:asciiTheme="minorHAnsi" w:hAnsiTheme="minorHAnsi" w:cstheme="minorBidi"/>
          <w:sz w:val="20"/>
          <w:szCs w:val="20"/>
        </w:rPr>
      </w:pPr>
      <w:r w:rsidRPr="3EBD05FD">
        <w:rPr>
          <w:rFonts w:asciiTheme="minorHAnsi" w:hAnsiTheme="minorHAnsi" w:cstheme="minorBidi"/>
          <w:sz w:val="20"/>
          <w:szCs w:val="20"/>
        </w:rPr>
        <w:t xml:space="preserve">quanto às </w:t>
      </w:r>
      <w:r w:rsidRPr="3EBD05FD">
        <w:rPr>
          <w:rFonts w:asciiTheme="minorHAnsi" w:hAnsiTheme="minorHAnsi" w:cstheme="minorBidi"/>
          <w:sz w:val="20"/>
          <w:szCs w:val="20"/>
          <w:u w:val="single"/>
        </w:rPr>
        <w:t>prestações vincendas do contrato</w:t>
      </w:r>
      <w:r w:rsidR="00C35678">
        <w:rPr>
          <w:rFonts w:asciiTheme="minorHAnsi" w:hAnsiTheme="minorHAnsi" w:cstheme="minorBidi"/>
          <w:sz w:val="20"/>
          <w:szCs w:val="20"/>
          <w:u w:val="single"/>
        </w:rPr>
        <w:t xml:space="preserve"> n. </w:t>
      </w:r>
      <w:r w:rsidR="00C35678" w:rsidRPr="00C35678">
        <w:rPr>
          <w:rFonts w:asciiTheme="minorHAnsi" w:hAnsiTheme="minorHAnsi" w:cstheme="minorBidi"/>
          <w:sz w:val="20"/>
          <w:szCs w:val="20"/>
          <w:u w:val="single"/>
        </w:rPr>
        <w:t>050780010825</w:t>
      </w:r>
      <w:r w:rsidRPr="3EBD05FD">
        <w:rPr>
          <w:rFonts w:asciiTheme="minorHAnsi" w:hAnsiTheme="minorHAnsi" w:cstheme="minorBidi"/>
          <w:sz w:val="20"/>
          <w:szCs w:val="20"/>
        </w:rPr>
        <w:t xml:space="preserve">, que seja determinado à demandada que se limite a debitar na conta do demandante apenas o valor incontroverso, ou seja, de R$ </w:t>
      </w:r>
      <w:r w:rsidR="00C35678">
        <w:rPr>
          <w:rFonts w:asciiTheme="minorHAnsi" w:hAnsiTheme="minorHAnsi" w:cstheme="minorBidi"/>
          <w:sz w:val="20"/>
          <w:szCs w:val="20"/>
        </w:rPr>
        <w:t>84,56</w:t>
      </w:r>
      <w:r w:rsidRPr="3EBD05FD">
        <w:rPr>
          <w:rFonts w:asciiTheme="minorHAnsi" w:hAnsiTheme="minorHAnsi" w:cstheme="minorBidi"/>
          <w:sz w:val="20"/>
          <w:szCs w:val="20"/>
        </w:rPr>
        <w:t>;</w:t>
      </w:r>
    </w:p>
    <w:p w14:paraId="237172B6"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na hipótese de não cumprimento do item anterior, seja autorizado ao Demandante a realização da consignação judicial dos pagamentos das prestações vincendas;</w:t>
      </w:r>
    </w:p>
    <w:p w14:paraId="524A7161" w14:textId="626156D0"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se </w:t>
      </w:r>
      <w:r w:rsidRPr="00BB3951">
        <w:rPr>
          <w:rFonts w:asciiTheme="minorHAnsi" w:hAnsiTheme="minorHAnsi" w:cstheme="minorHAnsi"/>
          <w:sz w:val="20"/>
          <w:u w:val="single"/>
        </w:rPr>
        <w:t>abstenha de realizar a inscrição do nome</w:t>
      </w:r>
      <w:r w:rsidRPr="00BB3951">
        <w:rPr>
          <w:rFonts w:asciiTheme="minorHAnsi" w:hAnsiTheme="minorHAnsi" w:cstheme="minorHAnsi"/>
          <w:sz w:val="20"/>
        </w:rPr>
        <w:t xml:space="preserve"> da parte Demandante nos cadastros de devedores ou de realizar a cobrança judicial do débito enquanto pendente </w:t>
      </w:r>
      <w:proofErr w:type="gramStart"/>
      <w:r w:rsidRPr="00BB3951">
        <w:rPr>
          <w:rFonts w:asciiTheme="minorHAnsi" w:hAnsiTheme="minorHAnsi" w:cstheme="minorHAnsi"/>
          <w:sz w:val="20"/>
        </w:rPr>
        <w:t>esta</w:t>
      </w:r>
      <w:proofErr w:type="gramEnd"/>
      <w:r w:rsidRPr="00BB3951">
        <w:rPr>
          <w:rFonts w:asciiTheme="minorHAnsi" w:hAnsiTheme="minorHAnsi" w:cstheme="minorHAnsi"/>
          <w:sz w:val="20"/>
        </w:rPr>
        <w:t xml:space="preserve"> revisional;</w:t>
      </w:r>
    </w:p>
    <w:p w14:paraId="0CEC7819"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seja </w:t>
      </w:r>
      <w:r w:rsidRPr="00BB3951">
        <w:rPr>
          <w:rFonts w:asciiTheme="minorHAnsi" w:hAnsiTheme="minorHAnsi" w:cstheme="minorHAnsi"/>
          <w:sz w:val="20"/>
          <w:u w:val="single"/>
        </w:rPr>
        <w:t>fixada multa diária</w:t>
      </w:r>
      <w:r w:rsidRPr="00BB3951">
        <w:rPr>
          <w:rFonts w:asciiTheme="minorHAnsi" w:hAnsiTheme="minorHAnsi" w:cstheme="minorHAnsi"/>
          <w:sz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7A33E869" w14:textId="77777777" w:rsidR="006641BB" w:rsidRDefault="000F5A50" w:rsidP="006641BB">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szCs w:val="24"/>
        </w:rPr>
        <w:t xml:space="preserve">a citação e intimação da parte demandada, </w:t>
      </w:r>
      <w:r w:rsidRPr="00BB3951">
        <w:rPr>
          <w:rFonts w:asciiTheme="minorHAnsi" w:hAnsiTheme="minorHAnsi" w:cstheme="minorHAnsi"/>
          <w:b/>
          <w:bCs/>
          <w:szCs w:val="24"/>
          <w:u w:val="single"/>
        </w:rPr>
        <w:t xml:space="preserve">por meio eletrônico </w:t>
      </w:r>
      <w:r w:rsidR="004F53EE" w:rsidRPr="00BB3951">
        <w:rPr>
          <w:rFonts w:asciiTheme="minorHAnsi" w:hAnsiTheme="minorHAnsi" w:cstheme="minorHAnsi"/>
          <w:b/>
          <w:bCs/>
          <w:szCs w:val="24"/>
          <w:u w:val="single"/>
        </w:rPr>
        <w:t>(</w:t>
      </w:r>
      <w:r w:rsidR="004F53EE" w:rsidRPr="00BB3951">
        <w:rPr>
          <w:rFonts w:cs="Calibri"/>
          <w:sz w:val="23"/>
          <w:szCs w:val="23"/>
        </w:rPr>
        <w:t>art. 246, CPC c/c art. 2º, parágrafo único, Resolução CNJ nº 345/2020</w:t>
      </w:r>
      <w:r w:rsidR="004F53EE" w:rsidRPr="00BB3951">
        <w:rPr>
          <w:rFonts w:asciiTheme="minorHAnsi" w:hAnsiTheme="minorHAnsi" w:cstheme="minorHAnsi"/>
          <w:b/>
          <w:bCs/>
          <w:szCs w:val="24"/>
          <w:u w:val="single"/>
        </w:rPr>
        <w:t>)</w:t>
      </w:r>
      <w:r w:rsidRPr="00BB3951">
        <w:rPr>
          <w:rFonts w:asciiTheme="minorHAnsi" w:hAnsiTheme="minorHAnsi" w:cstheme="minorHAnsi"/>
          <w:b/>
          <w:bCs/>
          <w:szCs w:val="24"/>
          <w:u w:val="single"/>
        </w:rPr>
        <w:t>,</w:t>
      </w:r>
      <w:r w:rsidRPr="00BB3951">
        <w:rPr>
          <w:rFonts w:asciiTheme="minorHAnsi" w:hAnsiTheme="minorHAnsi" w:cstheme="minorHAnsi"/>
          <w:szCs w:val="24"/>
        </w:rPr>
        <w:t xml:space="preserve"> ou, caso a empresa não conste no banco de dados, </w:t>
      </w:r>
      <w:r w:rsidRPr="00BB3951">
        <w:rPr>
          <w:rFonts w:asciiTheme="minorHAnsi" w:hAnsiTheme="minorHAnsi" w:cstheme="minorHAnsi"/>
          <w:szCs w:val="24"/>
          <w:u w:val="single"/>
        </w:rPr>
        <w:t>por Correios</w:t>
      </w:r>
      <w:r w:rsidRPr="00BB3951">
        <w:rPr>
          <w:rFonts w:asciiTheme="minorHAnsi" w:hAnsiTheme="minorHAnsi" w:cstheme="minorHAnsi"/>
          <w:szCs w:val="24"/>
        </w:rPr>
        <w:t>, para apresentar defesa no prazo legal, sob pena de revelia;</w:t>
      </w:r>
    </w:p>
    <w:p w14:paraId="1D2C43A5" w14:textId="744942D6" w:rsidR="006641BB" w:rsidRPr="006641BB" w:rsidRDefault="006641BB" w:rsidP="006641BB">
      <w:pPr>
        <w:pStyle w:val="PargrafodaLista"/>
        <w:numPr>
          <w:ilvl w:val="0"/>
          <w:numId w:val="9"/>
        </w:numPr>
        <w:spacing w:after="0" w:line="360" w:lineRule="auto"/>
        <w:ind w:left="0" w:firstLine="1985"/>
        <w:jc w:val="both"/>
        <w:rPr>
          <w:rFonts w:asciiTheme="minorHAnsi" w:hAnsiTheme="minorHAnsi" w:cstheme="minorHAnsi"/>
          <w:szCs w:val="24"/>
        </w:rPr>
      </w:pPr>
      <w:r>
        <w:rPr>
          <w:rFonts w:asciiTheme="minorHAnsi" w:hAnsiTheme="minorHAnsi" w:cstheme="minorHAnsi"/>
          <w:szCs w:val="24"/>
        </w:rPr>
        <w:t xml:space="preserve">            </w:t>
      </w:r>
      <w:r w:rsidRPr="006641BB">
        <w:rPr>
          <w:rFonts w:asciiTheme="minorHAnsi" w:hAnsiTheme="minorHAnsi" w:cstheme="minorHAnsi"/>
          <w:szCs w:val="24"/>
        </w:rPr>
        <w:t xml:space="preserve">a </w:t>
      </w:r>
      <w:r w:rsidRPr="006641BB">
        <w:rPr>
          <w:rFonts w:asciiTheme="minorHAnsi" w:hAnsiTheme="minorHAnsi" w:cstheme="minorHAnsi"/>
          <w:szCs w:val="24"/>
          <w:u w:val="single"/>
        </w:rPr>
        <w:t>inversão do ônus da prova em favor da autora</w:t>
      </w:r>
      <w:r w:rsidRPr="006641BB">
        <w:rPr>
          <w:rFonts w:asciiTheme="minorHAnsi" w:hAnsiTheme="minorHAnsi" w:cstheme="minorHAnsi"/>
          <w:szCs w:val="24"/>
        </w:rPr>
        <w:t xml:space="preserve">, transferindo-se para a requerida o ônus probatório integral sobre os fatos debatidos nesta demanda, especialmente quais foram os custos da captação dos recursos no local e época dos contratos, análise do perfil de risco de crédito do tomador e todos os demais elementos vinculados ao "spread"; </w:t>
      </w:r>
    </w:p>
    <w:p w14:paraId="0024DDB1" w14:textId="77777777" w:rsidR="008D0F7A" w:rsidRPr="00BB3951" w:rsidRDefault="008D0F7A" w:rsidP="008D0F7A">
      <w:pPr>
        <w:pStyle w:val="PargrafodaLista"/>
        <w:spacing w:after="0" w:line="360" w:lineRule="auto"/>
        <w:ind w:left="1985"/>
        <w:jc w:val="both"/>
        <w:rPr>
          <w:rFonts w:asciiTheme="minorHAnsi" w:hAnsiTheme="minorHAnsi" w:cstheme="minorHAnsi"/>
          <w:szCs w:val="24"/>
        </w:rPr>
      </w:pPr>
    </w:p>
    <w:p w14:paraId="07E1EE17" w14:textId="07A30D3B" w:rsidR="000F5A50" w:rsidRPr="00BB3951" w:rsidRDefault="008D0F7A"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Cs/>
          <w:szCs w:val="24"/>
        </w:rPr>
        <w:t xml:space="preserve">  </w:t>
      </w:r>
      <w:r w:rsidR="000F5A50" w:rsidRPr="00BB3951">
        <w:rPr>
          <w:rFonts w:asciiTheme="minorHAnsi" w:hAnsiTheme="minorHAnsi" w:cstheme="minorHAnsi"/>
          <w:bCs/>
          <w:szCs w:val="24"/>
        </w:rPr>
        <w:t>Seja deferida</w:t>
      </w:r>
      <w:r w:rsidR="000F5A50" w:rsidRPr="00BB3951">
        <w:rPr>
          <w:rFonts w:asciiTheme="minorHAnsi" w:hAnsiTheme="minorHAnsi" w:cstheme="minorHAnsi"/>
          <w:szCs w:val="24"/>
        </w:rPr>
        <w:t xml:space="preserve"> a </w:t>
      </w:r>
      <w:r w:rsidR="000F5A50" w:rsidRPr="00BB3951">
        <w:rPr>
          <w:rFonts w:asciiTheme="minorHAnsi" w:hAnsiTheme="minorHAnsi" w:cstheme="minorHAnsi"/>
          <w:szCs w:val="24"/>
          <w:u w:val="single"/>
        </w:rPr>
        <w:t>produção de todos os meios de prova</w:t>
      </w:r>
      <w:r w:rsidR="000F5A50" w:rsidRPr="00BB3951">
        <w:rPr>
          <w:rFonts w:asciiTheme="minorHAnsi" w:hAnsiTheme="minorHAnsi" w:cstheme="minorHAnsi"/>
          <w:szCs w:val="24"/>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D8BA8DE" w14:textId="77777777" w:rsidR="00450EEA" w:rsidRPr="00BB3951" w:rsidRDefault="00450EEA" w:rsidP="00450EEA">
      <w:pPr>
        <w:pStyle w:val="PargrafodaLista"/>
        <w:numPr>
          <w:ilvl w:val="0"/>
          <w:numId w:val="42"/>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 xml:space="preserve">a abusividade </w:t>
      </w:r>
      <w:r>
        <w:rPr>
          <w:rFonts w:asciiTheme="minorHAnsi" w:hAnsiTheme="minorHAnsi" w:cstheme="minorHAnsi"/>
          <w:bCs/>
          <w:sz w:val="20"/>
          <w:szCs w:val="20"/>
        </w:rPr>
        <w:t xml:space="preserve">taxa de juros remuneratórios (normalidade e anormalidade) do </w:t>
      </w:r>
      <w:r w:rsidRPr="00275618">
        <w:rPr>
          <w:rFonts w:asciiTheme="minorHAnsi" w:hAnsiTheme="minorHAnsi" w:cstheme="minorHAnsi"/>
          <w:bCs/>
          <w:sz w:val="20"/>
          <w:szCs w:val="20"/>
          <w:u w:val="single"/>
        </w:rPr>
        <w:t>contrato n. 050780007580</w:t>
      </w:r>
      <w:r>
        <w:rPr>
          <w:rFonts w:asciiTheme="minorHAnsi" w:hAnsiTheme="minorHAnsi" w:cstheme="minorHAnsi"/>
          <w:bCs/>
          <w:sz w:val="20"/>
          <w:szCs w:val="20"/>
        </w:rPr>
        <w:t xml:space="preserve">, que consta no </w:t>
      </w:r>
      <w:r w:rsidRPr="00D262A1">
        <w:rPr>
          <w:rFonts w:asciiTheme="minorHAnsi" w:hAnsiTheme="minorHAnsi" w:cstheme="minorHAnsi"/>
          <w:bCs/>
          <w:sz w:val="20"/>
          <w:szCs w:val="20"/>
        </w:rPr>
        <w:t>ANEXO 2 – DEMONSTRATIVO DO CUSTO EFETIVO TOTAL</w:t>
      </w:r>
      <w:r>
        <w:rPr>
          <w:rFonts w:asciiTheme="minorHAnsi" w:hAnsiTheme="minorHAnsi" w:cstheme="minorHAnsi"/>
          <w:bCs/>
          <w:sz w:val="20"/>
          <w:szCs w:val="20"/>
        </w:rPr>
        <w:t>, reduzindo-se as taxas para 4</w:t>
      </w:r>
      <w:r w:rsidRPr="00B430EC">
        <w:rPr>
          <w:rFonts w:asciiTheme="minorHAnsi" w:hAnsiTheme="minorHAnsi" w:cstheme="minorHAnsi"/>
          <w:sz w:val="20"/>
          <w:szCs w:val="20"/>
        </w:rPr>
        <w:t>,69% ao mês e 73,25% ao ano</w:t>
      </w:r>
      <w:r w:rsidRPr="00BB3951">
        <w:rPr>
          <w:rFonts w:asciiTheme="minorHAnsi" w:hAnsiTheme="minorHAnsi" w:cstheme="minorHAnsi"/>
          <w:sz w:val="20"/>
          <w:szCs w:val="20"/>
        </w:rPr>
        <w:t>;</w:t>
      </w:r>
    </w:p>
    <w:p w14:paraId="41DA1328" w14:textId="77777777" w:rsidR="00450EEA" w:rsidRPr="00BB3951" w:rsidRDefault="00450EEA" w:rsidP="00450EEA">
      <w:pPr>
        <w:pStyle w:val="PargrafodaLista"/>
        <w:spacing w:after="0"/>
        <w:ind w:left="2552"/>
        <w:jc w:val="both"/>
        <w:rPr>
          <w:rFonts w:asciiTheme="minorHAnsi" w:hAnsiTheme="minorHAnsi" w:cstheme="minorHAnsi"/>
          <w:sz w:val="20"/>
          <w:szCs w:val="20"/>
        </w:rPr>
      </w:pPr>
    </w:p>
    <w:p w14:paraId="661DBC72" w14:textId="77777777" w:rsidR="00450EEA" w:rsidRDefault="00450EEA" w:rsidP="00450EEA">
      <w:pPr>
        <w:pStyle w:val="PargrafodaLista"/>
        <w:numPr>
          <w:ilvl w:val="0"/>
          <w:numId w:val="42"/>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Consequentemente, </w:t>
      </w: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que o valor escorreito da prestação mensal, para o pagamento pontual, é de R$</w:t>
      </w:r>
      <w:r>
        <w:rPr>
          <w:rFonts w:asciiTheme="minorHAnsi" w:hAnsiTheme="minorHAnsi" w:cstheme="minorHAnsi"/>
          <w:bCs/>
          <w:sz w:val="20"/>
          <w:szCs w:val="20"/>
        </w:rPr>
        <w:t xml:space="preserve"> 60,67 (sessenta reais e sessenta sete centavos</w:t>
      </w:r>
      <w:r w:rsidRPr="00BB3951">
        <w:rPr>
          <w:rFonts w:asciiTheme="minorHAnsi" w:hAnsiTheme="minorHAnsi" w:cstheme="minorHAnsi"/>
          <w:bCs/>
          <w:sz w:val="20"/>
          <w:szCs w:val="20"/>
        </w:rPr>
        <w:t>), determinando-se que a Demandada se abstenha de realizar a cobrança de valores excedentes;</w:t>
      </w:r>
    </w:p>
    <w:p w14:paraId="1DD3563B" w14:textId="77777777" w:rsidR="00450EEA" w:rsidRPr="00A440D6" w:rsidRDefault="00450EEA" w:rsidP="00450EEA">
      <w:pPr>
        <w:pStyle w:val="PargrafodaLista"/>
        <w:rPr>
          <w:rFonts w:asciiTheme="minorHAnsi" w:hAnsiTheme="minorHAnsi" w:cstheme="minorHAnsi"/>
          <w:bCs/>
          <w:sz w:val="20"/>
          <w:szCs w:val="20"/>
        </w:rPr>
      </w:pPr>
    </w:p>
    <w:p w14:paraId="4F9FCFBA" w14:textId="77777777" w:rsidR="00450EEA" w:rsidRDefault="00450EEA" w:rsidP="00450EEA">
      <w:pPr>
        <w:pStyle w:val="PargrafodaLista"/>
        <w:numPr>
          <w:ilvl w:val="0"/>
          <w:numId w:val="42"/>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 xml:space="preserve">a abusividade </w:t>
      </w:r>
      <w:r>
        <w:rPr>
          <w:rFonts w:asciiTheme="minorHAnsi" w:hAnsiTheme="minorHAnsi" w:cstheme="minorHAnsi"/>
          <w:bCs/>
          <w:sz w:val="20"/>
          <w:szCs w:val="20"/>
        </w:rPr>
        <w:t xml:space="preserve">taxa de juros remuneratórios (normalidade e anormalidade) do </w:t>
      </w:r>
      <w:r w:rsidRPr="00275618">
        <w:rPr>
          <w:rFonts w:asciiTheme="minorHAnsi" w:hAnsiTheme="minorHAnsi" w:cstheme="minorHAnsi"/>
          <w:bCs/>
          <w:sz w:val="20"/>
          <w:szCs w:val="20"/>
          <w:u w:val="single"/>
        </w:rPr>
        <w:t>contrato n. 050780010825</w:t>
      </w:r>
      <w:r>
        <w:rPr>
          <w:rFonts w:asciiTheme="minorHAnsi" w:hAnsiTheme="minorHAnsi" w:cstheme="minorHAnsi"/>
          <w:bCs/>
          <w:sz w:val="20"/>
          <w:szCs w:val="20"/>
        </w:rPr>
        <w:t xml:space="preserve">, que consta no </w:t>
      </w:r>
      <w:r w:rsidRPr="00D262A1">
        <w:rPr>
          <w:rFonts w:asciiTheme="minorHAnsi" w:hAnsiTheme="minorHAnsi" w:cstheme="minorHAnsi"/>
          <w:bCs/>
          <w:sz w:val="20"/>
          <w:szCs w:val="20"/>
        </w:rPr>
        <w:t>ANEXO 2 – DEMONSTRATIVO DO CUSTO EFETIVO TOTAL</w:t>
      </w:r>
      <w:r>
        <w:rPr>
          <w:rFonts w:asciiTheme="minorHAnsi" w:hAnsiTheme="minorHAnsi" w:cstheme="minorHAnsi"/>
          <w:bCs/>
          <w:sz w:val="20"/>
          <w:szCs w:val="20"/>
        </w:rPr>
        <w:t xml:space="preserve">, reduzindo-se as taxas para </w:t>
      </w:r>
      <w:r w:rsidRPr="0099472C">
        <w:rPr>
          <w:rFonts w:asciiTheme="minorHAnsi" w:hAnsiTheme="minorHAnsi" w:cstheme="minorHAnsi"/>
          <w:bCs/>
          <w:sz w:val="20"/>
          <w:szCs w:val="20"/>
        </w:rPr>
        <w:t>5,01% ao mês e 79,84% ao ano</w:t>
      </w:r>
      <w:r w:rsidRPr="00BB3951">
        <w:rPr>
          <w:rFonts w:asciiTheme="minorHAnsi" w:hAnsiTheme="minorHAnsi" w:cstheme="minorHAnsi"/>
          <w:sz w:val="20"/>
          <w:szCs w:val="20"/>
        </w:rPr>
        <w:t>;</w:t>
      </w:r>
    </w:p>
    <w:p w14:paraId="40F0F88C" w14:textId="77777777" w:rsidR="00450EEA" w:rsidRPr="00275618" w:rsidRDefault="00450EEA" w:rsidP="00450EEA">
      <w:pPr>
        <w:pStyle w:val="PargrafodaLista"/>
        <w:rPr>
          <w:rFonts w:asciiTheme="minorHAnsi" w:hAnsiTheme="minorHAnsi" w:cstheme="minorHAnsi"/>
          <w:sz w:val="20"/>
          <w:szCs w:val="20"/>
        </w:rPr>
      </w:pPr>
    </w:p>
    <w:p w14:paraId="777BF4DD" w14:textId="77777777" w:rsidR="00450EEA" w:rsidRDefault="00450EEA" w:rsidP="00450EEA">
      <w:pPr>
        <w:pStyle w:val="PargrafodaLista"/>
        <w:numPr>
          <w:ilvl w:val="0"/>
          <w:numId w:val="42"/>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Consequentemente, </w:t>
      </w: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que o valor escorreito da prestação mensal, para o pagamento pontual, é de R$</w:t>
      </w:r>
      <w:r>
        <w:rPr>
          <w:rFonts w:asciiTheme="minorHAnsi" w:hAnsiTheme="minorHAnsi" w:cstheme="minorHAnsi"/>
          <w:bCs/>
          <w:sz w:val="20"/>
          <w:szCs w:val="20"/>
        </w:rPr>
        <w:t xml:space="preserve"> 84,56 (oitenta e quatro reais e cinquenta seis centavos)</w:t>
      </w:r>
      <w:r w:rsidRPr="00BB3951">
        <w:rPr>
          <w:rFonts w:asciiTheme="minorHAnsi" w:hAnsiTheme="minorHAnsi" w:cstheme="minorHAnsi"/>
          <w:bCs/>
          <w:sz w:val="20"/>
          <w:szCs w:val="20"/>
        </w:rPr>
        <w:t>, determinando-se que a Demandada se abstenha de realizar a cobrança de valores excedentes;</w:t>
      </w:r>
    </w:p>
    <w:p w14:paraId="4A94EDC6" w14:textId="77777777" w:rsidR="00995349" w:rsidRPr="00BB3951" w:rsidRDefault="00995349" w:rsidP="008D0F7A">
      <w:pPr>
        <w:pStyle w:val="PargrafodaLista"/>
        <w:spacing w:after="0"/>
        <w:ind w:left="2552"/>
        <w:jc w:val="both"/>
        <w:rPr>
          <w:rFonts w:asciiTheme="minorHAnsi" w:hAnsiTheme="minorHAnsi" w:cstheme="minorHAnsi"/>
          <w:bCs/>
          <w:sz w:val="20"/>
          <w:szCs w:val="20"/>
        </w:rPr>
      </w:pPr>
    </w:p>
    <w:p w14:paraId="4E72AF8D" w14:textId="77777777" w:rsidR="00995349" w:rsidRPr="00BB3951" w:rsidRDefault="00995349" w:rsidP="00450EEA">
      <w:pPr>
        <w:pStyle w:val="PargrafodaLista"/>
        <w:numPr>
          <w:ilvl w:val="0"/>
          <w:numId w:val="42"/>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Ainda, </w:t>
      </w:r>
      <w:r w:rsidRPr="00BB3951">
        <w:rPr>
          <w:rFonts w:asciiTheme="minorHAnsi" w:hAnsiTheme="minorHAnsi" w:cstheme="minorHAnsi"/>
          <w:b/>
          <w:sz w:val="20"/>
          <w:szCs w:val="20"/>
        </w:rPr>
        <w:t>declarar afastada a mora</w:t>
      </w:r>
      <w:r w:rsidRPr="00BB3951">
        <w:rPr>
          <w:rFonts w:asciiTheme="minorHAnsi" w:hAnsiTheme="minorHAnsi" w:cstheme="minorHAnsi"/>
          <w:bCs/>
          <w:sz w:val="20"/>
          <w:szCs w:val="20"/>
        </w:rPr>
        <w:t xml:space="preserve"> da parte Demandante, com a vedação à Demandada de realizar a cobrança de qualquer encargo moratório sobre as prestações inadimplidas antes e após do ajuizamento da ação;</w:t>
      </w:r>
    </w:p>
    <w:p w14:paraId="20C5A045" w14:textId="77777777" w:rsidR="00995349" w:rsidRPr="00BB3951" w:rsidRDefault="00995349" w:rsidP="008D0F7A">
      <w:pPr>
        <w:pStyle w:val="PargrafodaLista"/>
        <w:ind w:left="2552"/>
        <w:jc w:val="both"/>
        <w:rPr>
          <w:rFonts w:asciiTheme="minorHAnsi" w:hAnsiTheme="minorHAnsi" w:cstheme="minorHAnsi"/>
          <w:bCs/>
          <w:sz w:val="20"/>
          <w:szCs w:val="20"/>
        </w:rPr>
      </w:pPr>
    </w:p>
    <w:p w14:paraId="58A24E0F" w14:textId="77777777" w:rsidR="00995349" w:rsidRPr="00BB3951" w:rsidRDefault="00995349" w:rsidP="00450EEA">
      <w:pPr>
        <w:pStyle w:val="PargrafodaLista"/>
        <w:numPr>
          <w:ilvl w:val="0"/>
          <w:numId w:val="42"/>
        </w:numPr>
        <w:ind w:left="2552"/>
        <w:jc w:val="both"/>
        <w:rPr>
          <w:rFonts w:asciiTheme="minorHAnsi" w:hAnsiTheme="minorHAnsi" w:cstheme="minorHAnsi"/>
          <w:bCs/>
          <w:sz w:val="20"/>
          <w:szCs w:val="20"/>
        </w:rPr>
      </w:pPr>
      <w:r w:rsidRPr="00BB3951">
        <w:rPr>
          <w:rFonts w:asciiTheme="minorHAnsi" w:hAnsiTheme="minorHAnsi" w:cstheme="minorHAnsi"/>
          <w:b/>
          <w:sz w:val="20"/>
          <w:szCs w:val="20"/>
        </w:rPr>
        <w:t>Condenar</w:t>
      </w:r>
      <w:r w:rsidRPr="00BB3951">
        <w:rPr>
          <w:rFonts w:asciiTheme="minorHAnsi" w:hAnsiTheme="minorHAnsi" w:cstheme="minorHAnsi"/>
          <w:bCs/>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00995349" w:rsidP="00450EEA">
      <w:pPr>
        <w:pStyle w:val="PargrafodaLista"/>
        <w:numPr>
          <w:ilvl w:val="0"/>
          <w:numId w:val="42"/>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Condenar </w:t>
      </w:r>
      <w:r w:rsidRPr="00BB3951">
        <w:rPr>
          <w:rFonts w:asciiTheme="minorHAnsi" w:hAnsiTheme="minorHAnsi" w:cstheme="minorHAnsi"/>
          <w:sz w:val="20"/>
          <w:szCs w:val="20"/>
        </w:rPr>
        <w:t xml:space="preserve">a parte demandada ao </w:t>
      </w:r>
      <w:r w:rsidRPr="00BB3951">
        <w:rPr>
          <w:rFonts w:asciiTheme="minorHAnsi" w:hAnsiTheme="minorHAnsi" w:cstheme="minorHAnsi"/>
          <w:sz w:val="20"/>
          <w:szCs w:val="20"/>
          <w:u w:val="single"/>
        </w:rPr>
        <w:t>pagamento das despesas processuais (art. 82, §2º, CPC) e honorários advocatícios (art. 85, CPC)</w:t>
      </w:r>
      <w:r w:rsidRPr="00BB3951">
        <w:rPr>
          <w:rFonts w:asciiTheme="minorHAnsi" w:hAnsiTheme="minorHAnsi" w:cstheme="minorHAns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594140A"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w:t>
      </w:r>
      <w:r w:rsidR="00A6662C" w:rsidRPr="00BB3951">
        <w:rPr>
          <w:rFonts w:asciiTheme="minorHAnsi" w:hAnsiTheme="minorHAnsi" w:cstheme="minorHAnsi"/>
          <w:sz w:val="24"/>
          <w:szCs w:val="24"/>
        </w:rPr>
        <w:t xml:space="preserve">R$ </w:t>
      </w:r>
      <w:r w:rsidR="00A6662C">
        <w:rPr>
          <w:rFonts w:asciiTheme="minorHAnsi" w:hAnsiTheme="minorHAnsi" w:cstheme="minorHAnsi"/>
          <w:sz w:val="24"/>
          <w:szCs w:val="24"/>
        </w:rPr>
        <w:t>1.189,82, que corresponde ao proveito econômico a ser alcançado com esta demanda após a revisão dos dois contratos (R$ 731,72 + R$ 458,10)</w:t>
      </w:r>
      <w:r w:rsidR="00535B1D">
        <w:rPr>
          <w:rFonts w:asciiTheme="minorHAnsi" w:hAnsiTheme="minorHAnsi" w:cstheme="minorHAnsi"/>
          <w:sz w:val="24"/>
          <w:szCs w:val="24"/>
        </w:rPr>
        <w:t xml:space="preserve">, </w:t>
      </w:r>
      <w:r w:rsidR="00535B1D" w:rsidRPr="00BB3951">
        <w:rPr>
          <w:rFonts w:asciiTheme="minorHAnsi" w:hAnsiTheme="minorHAnsi" w:cstheme="minorHAnsi"/>
          <w:sz w:val="24"/>
          <w:szCs w:val="24"/>
        </w:rPr>
        <w:t>com</w:t>
      </w:r>
      <w:r w:rsidRPr="00BB3951">
        <w:rPr>
          <w:rFonts w:asciiTheme="minorHAnsi" w:hAnsiTheme="minorHAnsi" w:cstheme="minorHAnsi"/>
          <w:sz w:val="24"/>
          <w:szCs w:val="24"/>
        </w:rPr>
        <w:t xml:space="preserve">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ABDE3F6"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E068E9">
        <w:rPr>
          <w:rFonts w:asciiTheme="minorHAnsi" w:hAnsiTheme="minorHAnsi" w:cstheme="minorHAnsi"/>
          <w:noProof/>
          <w:sz w:val="24"/>
          <w:szCs w:val="24"/>
        </w:rPr>
        <w:t>16 de outubro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320AF21" w14:textId="77777777" w:rsidR="0060207B" w:rsidRPr="00BB3951" w:rsidRDefault="0060207B" w:rsidP="0060207B">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7EB3F6F" w14:textId="77777777" w:rsidR="0060207B" w:rsidRPr="00BB3951" w:rsidRDefault="0060207B" w:rsidP="0060207B">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56ED52E0" w14:textId="77777777" w:rsidR="0060207B" w:rsidRPr="00BB3951" w:rsidRDefault="0060207B" w:rsidP="0060207B">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w:t>
      </w:r>
      <w:r>
        <w:rPr>
          <w:rFonts w:asciiTheme="minorHAnsi" w:hAnsiTheme="minorHAnsi" w:cstheme="minorHAnsi"/>
          <w:sz w:val="22"/>
          <w:szCs w:val="26"/>
        </w:rPr>
        <w:t>s</w:t>
      </w:r>
      <w:r w:rsidRPr="00BB3951">
        <w:rPr>
          <w:rFonts w:asciiTheme="minorHAnsi" w:hAnsiTheme="minorHAnsi" w:cstheme="minorHAnsi"/>
          <w:sz w:val="22"/>
          <w:szCs w:val="26"/>
        </w:rPr>
        <w:t xml:space="preserve"> objeto da ação;</w:t>
      </w:r>
    </w:p>
    <w:p w14:paraId="69913523" w14:textId="77777777" w:rsidR="0060207B" w:rsidRPr="00BB3951" w:rsidRDefault="0060207B" w:rsidP="0060207B">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e da tarifa de cadastro do BACEN;</w:t>
      </w:r>
    </w:p>
    <w:p w14:paraId="02B070C9" w14:textId="77777777" w:rsidR="0060207B" w:rsidRPr="00BB3951" w:rsidRDefault="0060207B" w:rsidP="0060207B">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w:t>
      </w:r>
      <w:r>
        <w:rPr>
          <w:rFonts w:asciiTheme="minorHAnsi" w:hAnsiTheme="minorHAnsi" w:cstheme="minorHAnsi"/>
          <w:sz w:val="22"/>
          <w:szCs w:val="26"/>
        </w:rPr>
        <w:t>s</w:t>
      </w:r>
      <w:r w:rsidRPr="00BB3951">
        <w:rPr>
          <w:rFonts w:asciiTheme="minorHAnsi" w:hAnsiTheme="minorHAnsi" w:cstheme="minorHAnsi"/>
          <w:sz w:val="22"/>
          <w:szCs w:val="26"/>
        </w:rPr>
        <w:t xml:space="preserve"> de cálculo</w:t>
      </w:r>
      <w:r>
        <w:rPr>
          <w:rFonts w:asciiTheme="minorHAnsi" w:hAnsiTheme="minorHAnsi" w:cstheme="minorHAnsi"/>
          <w:sz w:val="22"/>
          <w:szCs w:val="26"/>
        </w:rPr>
        <w:t>s</w:t>
      </w:r>
      <w:r w:rsidRPr="00BB3951">
        <w:rPr>
          <w:rFonts w:asciiTheme="minorHAnsi" w:hAnsiTheme="minorHAnsi" w:cstheme="minorHAnsi"/>
          <w:sz w:val="22"/>
          <w:szCs w:val="26"/>
        </w:rPr>
        <w:t>;</w:t>
      </w:r>
    </w:p>
    <w:p w14:paraId="45E3862B" w14:textId="77777777" w:rsidR="0060207B" w:rsidRPr="00BB3951" w:rsidRDefault="0060207B" w:rsidP="0060207B">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06 – </w:t>
      </w:r>
      <w:r>
        <w:rPr>
          <w:rFonts w:asciiTheme="minorHAnsi" w:hAnsiTheme="minorHAnsi" w:cstheme="minorHAnsi"/>
          <w:sz w:val="22"/>
          <w:szCs w:val="26"/>
        </w:rPr>
        <w:t>prova do pagamento das prestações</w:t>
      </w:r>
      <w:r w:rsidRPr="00BB3951">
        <w:rPr>
          <w:rFonts w:asciiTheme="minorHAnsi" w:hAnsiTheme="minorHAnsi" w:cstheme="minorHAnsi"/>
          <w:sz w:val="22"/>
          <w:szCs w:val="26"/>
        </w:rPr>
        <w:t>.</w:t>
      </w:r>
    </w:p>
    <w:p w14:paraId="257EE82D" w14:textId="395C406F" w:rsidR="00545BA3" w:rsidRPr="00BB3951" w:rsidRDefault="00545BA3" w:rsidP="0060207B">
      <w:pPr>
        <w:pStyle w:val="Corpodetexto3"/>
        <w:spacing w:after="0" w:line="360" w:lineRule="auto"/>
        <w:jc w:val="both"/>
        <w:rPr>
          <w:rFonts w:asciiTheme="minorHAnsi" w:hAnsiTheme="minorHAnsi" w:cstheme="minorHAnsi"/>
          <w:sz w:val="22"/>
          <w:szCs w:val="26"/>
        </w:rPr>
      </w:pPr>
    </w:p>
    <w:sectPr w:rsidR="00545BA3" w:rsidRPr="00BB3951" w:rsidSect="0052536F">
      <w:headerReference w:type="default" r:id="rId15"/>
      <w:footerReference w:type="default" r:id="rId16"/>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10-16T19:23:00Z" w:initials="HM">
    <w:p w14:paraId="135E87F0" w14:textId="77777777" w:rsidR="006E4552" w:rsidRDefault="006E4552" w:rsidP="00F43183">
      <w:pPr>
        <w:pStyle w:val="Textodecomentrio"/>
      </w:pPr>
      <w:r>
        <w:rPr>
          <w:rStyle w:val="Refdecomentrio"/>
        </w:rPr>
        <w:annotationRef/>
      </w:r>
      <w:r>
        <w:t xml:space="preserve">Este tópico somente deverá ser mantido se o contrato não está quitado. </w:t>
      </w:r>
      <w:r>
        <w:br/>
      </w:r>
      <w:r>
        <w:br/>
        <w:t>Se o contrato estiver totalmente quitado, exclua o tópico na íntegra e renumere os tópicos subsequentes.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5E8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6D8A9" w16cex:dateUtc="2022-10-16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E87F0" w16cid:durableId="26F6D8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7989" w14:textId="77777777" w:rsidR="006B6F02" w:rsidRDefault="006B6F02">
      <w:r>
        <w:separator/>
      </w:r>
    </w:p>
  </w:endnote>
  <w:endnote w:type="continuationSeparator" w:id="0">
    <w:p w14:paraId="7C3EC24D" w14:textId="77777777" w:rsidR="006B6F02" w:rsidRDefault="006B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EA40" w14:textId="77777777" w:rsidR="006B6F02" w:rsidRDefault="006B6F02">
      <w:r>
        <w:separator/>
      </w:r>
    </w:p>
  </w:footnote>
  <w:footnote w:type="continuationSeparator" w:id="0">
    <w:p w14:paraId="0BE106E4" w14:textId="77777777" w:rsidR="006B6F02" w:rsidRDefault="006B6F02">
      <w:r>
        <w:continuationSeparator/>
      </w:r>
    </w:p>
  </w:footnote>
  <w:footnote w:id="1">
    <w:p w14:paraId="211D5D1A" w14:textId="77777777" w:rsidR="001E1766" w:rsidRPr="006D08B1" w:rsidRDefault="001E1766" w:rsidP="006D08B1">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Conforme procuração anexa.</w:t>
      </w:r>
    </w:p>
  </w:footnote>
  <w:footnote w:id="2">
    <w:p w14:paraId="1E938044" w14:textId="77777777" w:rsidR="00FA27AB" w:rsidRPr="006D08B1" w:rsidRDefault="00FA27AB" w:rsidP="006D08B1">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V. Enunciado 297 da súmula da jurisprudência do STJ: “O Código de Defesa do Consumidor é aplicável às instituições financeiras.” No mesmo sentido, Adin nº 2.591 do STF.</w:t>
      </w:r>
    </w:p>
  </w:footnote>
  <w:footnote w:id="3">
    <w:p w14:paraId="4CC5686D" w14:textId="77777777" w:rsidR="00FC1601" w:rsidRPr="006D08B1" w:rsidRDefault="00FC1601" w:rsidP="006D08B1">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11529647 – [...] I - Julgamento das questões idênticas que caracterizam a multiplicidade. </w:t>
      </w:r>
      <w:r w:rsidRPr="006D08B1">
        <w:rPr>
          <w:rFonts w:asciiTheme="minorHAnsi" w:hAnsiTheme="minorHAnsi" w:cstheme="minorHAnsi"/>
          <w:b/>
          <w:bCs/>
          <w:sz w:val="20"/>
          <w:szCs w:val="20"/>
          <w:u w:val="single"/>
        </w:rPr>
        <w:t>Orientação 1</w:t>
      </w:r>
      <w:r w:rsidRPr="006D08B1">
        <w:rPr>
          <w:rFonts w:asciiTheme="minorHAnsi" w:hAnsiTheme="minorHAnsi" w:cstheme="minorHAnsi"/>
          <w:sz w:val="20"/>
          <w:szCs w:val="20"/>
        </w:rPr>
        <w:t xml:space="preserve"> - Juros remuneratórios [...]; </w:t>
      </w:r>
      <w:r w:rsidRPr="006D08B1">
        <w:rPr>
          <w:rFonts w:asciiTheme="minorHAnsi" w:hAnsiTheme="minorHAnsi" w:cstheme="minorHAnsi"/>
          <w:b/>
          <w:bCs/>
          <w:sz w:val="20"/>
          <w:szCs w:val="20"/>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6D08B1">
        <w:rPr>
          <w:rFonts w:asciiTheme="minorHAnsi" w:hAnsiTheme="minorHAnsi" w:cstheme="minorHAnsi"/>
          <w:sz w:val="20"/>
          <w:szCs w:val="20"/>
        </w:rPr>
        <w:t>. ... (</w:t>
      </w:r>
      <w:r w:rsidRPr="006D08B1">
        <w:rPr>
          <w:rFonts w:asciiTheme="minorHAnsi" w:hAnsiTheme="minorHAnsi" w:cstheme="minorHAnsi"/>
          <w:sz w:val="20"/>
          <w:szCs w:val="20"/>
          <w:u w:val="single"/>
        </w:rPr>
        <w:t>STJ; REsp 1.061.530</w:t>
      </w:r>
      <w:r w:rsidRPr="006D08B1">
        <w:rPr>
          <w:rFonts w:asciiTheme="minorHAnsi" w:hAnsiTheme="minorHAnsi" w:cstheme="minorHAnsi"/>
          <w:sz w:val="20"/>
          <w:szCs w:val="20"/>
        </w:rPr>
        <w:t>; Proc. 2008/0119992-4; RS; Segunda Seção; Relª Min. Fátima Nancy Andrighi; Julg. 22/10/2008; DJE 10/03/2009) g/n</w:t>
      </w:r>
    </w:p>
  </w:footnote>
  <w:footnote w:id="4">
    <w:p w14:paraId="4897E06B" w14:textId="77777777" w:rsidR="00A22561" w:rsidRPr="006D08B1" w:rsidRDefault="00A22561" w:rsidP="006D08B1">
      <w:pPr>
        <w:pStyle w:val="Textodenotaderodap"/>
        <w:spacing w:line="240" w:lineRule="auto"/>
        <w:jc w:val="both"/>
        <w:rPr>
          <w:sz w:val="20"/>
          <w:szCs w:val="20"/>
        </w:rPr>
      </w:pPr>
      <w:r w:rsidRPr="006D08B1">
        <w:rPr>
          <w:rStyle w:val="Refdenotaderodap"/>
          <w:sz w:val="20"/>
          <w:szCs w:val="20"/>
        </w:rPr>
        <w:footnoteRef/>
      </w:r>
      <w:r w:rsidRPr="006D08B1">
        <w:rPr>
          <w:sz w:val="20"/>
          <w:szCs w:val="20"/>
        </w:rPr>
        <w:t xml:space="preserve"> BANCÁRIO. AGRAVO INTERNO NO RECURSO ESPECIAL. AÇÃO REVISIONAL. </w:t>
      </w:r>
      <w:r w:rsidRPr="006D08B1">
        <w:rPr>
          <w:b/>
          <w:bCs/>
          <w:sz w:val="20"/>
          <w:szCs w:val="20"/>
        </w:rPr>
        <w:t>CONTRATO BANCÁRIO</w:t>
      </w:r>
      <w:r w:rsidRPr="006D08B1">
        <w:rPr>
          <w:sz w:val="20"/>
          <w:szCs w:val="20"/>
        </w:rPr>
        <w:t xml:space="preserve">. </w:t>
      </w:r>
      <w:r w:rsidRPr="006D08B1">
        <w:rPr>
          <w:b/>
          <w:bCs/>
          <w:sz w:val="20"/>
          <w:szCs w:val="20"/>
        </w:rPr>
        <w:t>LIMITAÇÃO DOS JUROS REMUNERATÓRIOS À TAXA MÉDIA DE MERCADO</w:t>
      </w:r>
      <w:r w:rsidRPr="006D08B1">
        <w:rPr>
          <w:sz w:val="20"/>
          <w:szCs w:val="20"/>
        </w:rPr>
        <w:t>. AUSÊNCIA DE ABUSO. TAXA MÉDIA DE MERCADO. CONFORMIDADE DO ACÓRDÃO RECORRIDO COM O ENTENDIMENTO DESTA CORTE (SÚMULA 83/STJ). AGRAVO INTERNO DESPROVIDO.</w:t>
      </w:r>
    </w:p>
    <w:p w14:paraId="05893587" w14:textId="77777777" w:rsidR="00A22561" w:rsidRPr="006D08B1" w:rsidRDefault="00A22561" w:rsidP="006D08B1">
      <w:pPr>
        <w:pStyle w:val="Textodenotaderodap"/>
        <w:spacing w:line="240" w:lineRule="auto"/>
        <w:jc w:val="both"/>
        <w:rPr>
          <w:sz w:val="20"/>
          <w:szCs w:val="20"/>
        </w:rPr>
      </w:pPr>
      <w:r w:rsidRPr="006D08B1">
        <w:rPr>
          <w:sz w:val="20"/>
          <w:szCs w:val="20"/>
        </w:rPr>
        <w:t>1. A jurisprudência firmada em recurso repetitivo, sob o rito do art. 543-C do CPC/73, no julgamento do REsp 1.061.530/RS, é no sentido de ser admitida a revisão das taxas de juros remuneratórios em situações excepcionais, quando caracterizada relação de consumo e cabalmente demonstrado abuso capaz de colocar o consumidor em desvantagem exagerada (CDC, art. 51, § 1°).</w:t>
      </w:r>
    </w:p>
    <w:p w14:paraId="7BD7288C" w14:textId="77777777" w:rsidR="00A22561" w:rsidRPr="006D08B1" w:rsidRDefault="00A22561" w:rsidP="006D08B1">
      <w:pPr>
        <w:pStyle w:val="Textodenotaderodap"/>
        <w:spacing w:line="240" w:lineRule="auto"/>
        <w:jc w:val="both"/>
        <w:rPr>
          <w:sz w:val="20"/>
          <w:szCs w:val="20"/>
        </w:rPr>
      </w:pPr>
      <w:r w:rsidRPr="006D08B1">
        <w:rPr>
          <w:sz w:val="20"/>
          <w:szCs w:val="20"/>
        </w:rPr>
        <w:t xml:space="preserve">2. O </w:t>
      </w:r>
      <w:r w:rsidRPr="006D08B1">
        <w:rPr>
          <w:b/>
          <w:bCs/>
          <w:sz w:val="20"/>
          <w:szCs w:val="20"/>
        </w:rPr>
        <w:t>caráter abusivo da taxa de juros</w:t>
      </w:r>
      <w:r w:rsidRPr="006D08B1">
        <w:rPr>
          <w:sz w:val="20"/>
          <w:szCs w:val="20"/>
        </w:rPr>
        <w:t xml:space="preserve"> contratada haverá de ser </w:t>
      </w:r>
      <w:r w:rsidRPr="006D08B1">
        <w:rPr>
          <w:b/>
          <w:bCs/>
          <w:sz w:val="20"/>
          <w:szCs w:val="20"/>
        </w:rPr>
        <w:t xml:space="preserve">demonstrado de acordo com as peculiaridades </w:t>
      </w:r>
      <w:r w:rsidRPr="006D08B1">
        <w:rPr>
          <w:b/>
          <w:bCs/>
          <w:sz w:val="20"/>
          <w:szCs w:val="20"/>
          <w:u w:val="single"/>
        </w:rPr>
        <w:t>de cada caso concreto</w:t>
      </w:r>
      <w:r w:rsidRPr="006D08B1">
        <w:rPr>
          <w:sz w:val="20"/>
          <w:szCs w:val="20"/>
        </w:rPr>
        <w:t>, levando-se em consideração circunstâncias como o custo da captação dos recursos no local e época do contrato; o valor e o prazo do financiamento; as fontes de renda do cliente; as garantias ofertadas; a existência de prévio relacionamento do cliente com a instituição financeira; análise do perfil de risco de crédito do tomador; a forma de pagamento da operação, entre outros aspectos (REsp 1.821.182/RS, Relatora Ministra MARIA ISABEL GALLOTTI, QUARTA TURMA, julgado em 23/6/2022, DJe de 29/6/2022).</w:t>
      </w:r>
    </w:p>
    <w:p w14:paraId="200086F2" w14:textId="681D2821" w:rsidR="00A22561" w:rsidRPr="006D08B1" w:rsidRDefault="00E95749" w:rsidP="006D08B1">
      <w:pPr>
        <w:pStyle w:val="Textodenotaderodap"/>
        <w:spacing w:line="240" w:lineRule="auto"/>
        <w:jc w:val="both"/>
        <w:rPr>
          <w:sz w:val="20"/>
          <w:szCs w:val="20"/>
        </w:rPr>
      </w:pPr>
      <w:r w:rsidRPr="006D08B1">
        <w:rPr>
          <w:sz w:val="20"/>
          <w:szCs w:val="20"/>
        </w:rPr>
        <w:t xml:space="preserve">[...] </w:t>
      </w:r>
      <w:r w:rsidR="00A22561" w:rsidRPr="006D08B1">
        <w:rPr>
          <w:sz w:val="20"/>
          <w:szCs w:val="20"/>
        </w:rPr>
        <w:t>(AgInt no REsp n. 1.995.857/MS, relator Ministro Raul Araújo, Quarta Turma, julgado em 29/8/2022, DJe de 8/9/2022.)</w:t>
      </w:r>
    </w:p>
  </w:footnote>
  <w:footnote w:id="5">
    <w:p w14:paraId="1F553380" w14:textId="38DD1395" w:rsidR="009C15AA" w:rsidRPr="006D08B1" w:rsidRDefault="009C15AA" w:rsidP="009C15AA">
      <w:pPr>
        <w:pStyle w:val="Textodenotaderodap"/>
        <w:spacing w:after="0" w:line="240" w:lineRule="auto"/>
        <w:jc w:val="both"/>
        <w:rPr>
          <w:sz w:val="20"/>
          <w:szCs w:val="20"/>
        </w:rPr>
      </w:pPr>
      <w:r w:rsidRPr="006D08B1">
        <w:rPr>
          <w:rStyle w:val="Refdenotaderodap"/>
          <w:sz w:val="20"/>
          <w:szCs w:val="20"/>
        </w:rPr>
        <w:footnoteRef/>
      </w:r>
      <w:r w:rsidRPr="006D08B1">
        <w:rPr>
          <w:sz w:val="20"/>
          <w:szCs w:val="20"/>
        </w:rPr>
        <w:t xml:space="preserve"> </w:t>
      </w:r>
      <w:r w:rsidR="00D10CB6">
        <w:rPr>
          <w:sz w:val="20"/>
          <w:szCs w:val="20"/>
        </w:rPr>
        <w:t>Para não deixar dúvidas, confira o t</w:t>
      </w:r>
      <w:r w:rsidRPr="006D08B1">
        <w:rPr>
          <w:sz w:val="20"/>
          <w:szCs w:val="20"/>
        </w:rPr>
        <w:t>recho do voto</w:t>
      </w:r>
      <w:r w:rsidR="00A76660">
        <w:rPr>
          <w:sz w:val="20"/>
          <w:szCs w:val="20"/>
        </w:rPr>
        <w:t xml:space="preserve"> vencedor no </w:t>
      </w:r>
      <w:r w:rsidR="00A76660" w:rsidRPr="006D08B1">
        <w:rPr>
          <w:sz w:val="20"/>
          <w:szCs w:val="20"/>
        </w:rPr>
        <w:t>AgInt no AREsp 1591428/RS, Rel. Ministro MARCO AURÉLIO BELLIZZE, TERCEIRA TURMA, julgado em 30/03/2020, DJe 06/04/2020</w:t>
      </w:r>
      <w:r w:rsidRPr="006D08B1">
        <w:rPr>
          <w:sz w:val="20"/>
          <w:szCs w:val="20"/>
        </w:rPr>
        <w:t>:</w:t>
      </w:r>
      <w:r w:rsidR="00A76660">
        <w:rPr>
          <w:sz w:val="20"/>
          <w:szCs w:val="20"/>
        </w:rPr>
        <w:t xml:space="preserve"> </w:t>
      </w:r>
      <w:r w:rsidR="00D10CB6">
        <w:rPr>
          <w:sz w:val="20"/>
          <w:szCs w:val="20"/>
        </w:rPr>
        <w:t>“</w:t>
      </w:r>
      <w:r w:rsidRPr="006D08B1">
        <w:rPr>
          <w:sz w:val="20"/>
          <w:szCs w:val="20"/>
        </w:rPr>
        <w:t>Ademais, diversamente do que defende a agravante, o critério levantado nas razões do agravo para se aferir a abusividade (quando exceder em 50% à taxa média definida pelo Bacen) não foi objeto da tese estabelecida no mencionado recurso repetitivo.”</w:t>
      </w:r>
    </w:p>
  </w:footnote>
  <w:footnote w:id="6">
    <w:p w14:paraId="7C52153B" w14:textId="77777777" w:rsidR="0032503F" w:rsidRPr="006D08B1" w:rsidRDefault="0032503F" w:rsidP="0032503F">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Disponível em: </w:t>
      </w:r>
      <w:hyperlink r:id="rId1" w:history="1">
        <w:r w:rsidRPr="006D08B1">
          <w:rPr>
            <w:rStyle w:val="Hyperlink"/>
            <w:rFonts w:asciiTheme="minorHAnsi" w:hAnsiTheme="minorHAnsi" w:cstheme="minorHAnsi"/>
            <w:sz w:val="20"/>
            <w:szCs w:val="20"/>
          </w:rPr>
          <w:t>https://www3.bcb.gov.br/sgspub/localizarseries/localizarSeries.do?method=prepararTelaLocalizarSeries</w:t>
        </w:r>
      </w:hyperlink>
      <w:r w:rsidRPr="006D08B1">
        <w:rPr>
          <w:rFonts w:asciiTheme="minorHAnsi" w:hAnsiTheme="minorHAnsi" w:cstheme="minorHAnsi"/>
          <w:sz w:val="20"/>
          <w:szCs w:val="20"/>
        </w:rPr>
        <w:t>. Acesso em XX/XX/XXXX.</w:t>
      </w:r>
    </w:p>
  </w:footnote>
  <w:footnote w:id="7">
    <w:p w14:paraId="1107D3DF" w14:textId="77777777" w:rsidR="00A02C68" w:rsidRPr="006D08B1" w:rsidRDefault="00A02C68" w:rsidP="00A02C68">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Este valor é alcançado por meio da seguinte regra de três: </w:t>
      </w:r>
    </w:p>
    <w:p w14:paraId="7457C27D" w14:textId="77777777" w:rsidR="00A02C68" w:rsidRPr="006D08B1" w:rsidRDefault="00A02C68" w:rsidP="00A02C68">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              TAXA MÉDIA ----- 100                      X = TC X 100 ÷ TM          </w:t>
      </w:r>
    </w:p>
    <w:p w14:paraId="65CD2341" w14:textId="77777777" w:rsidR="00A02C68" w:rsidRPr="006D08B1" w:rsidRDefault="00A02C68" w:rsidP="00A02C68">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TAXA CONTRATUAL -------- X                                                     </w:t>
      </w:r>
    </w:p>
    <w:p w14:paraId="09CE598C" w14:textId="3E56644C" w:rsidR="00A02C68" w:rsidRPr="006D08B1" w:rsidRDefault="00A02C68" w:rsidP="00A02C68">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Para transformar o resultado em valor percentual: resultado -100 = XXX %, que é a diferença entre as taxas. No caso em estudo: </w:t>
      </w:r>
      <w:r>
        <w:rPr>
          <w:rFonts w:asciiTheme="minorHAnsi" w:hAnsiTheme="minorHAnsi" w:cstheme="minorHAnsi"/>
          <w:sz w:val="20"/>
          <w:szCs w:val="20"/>
        </w:rPr>
        <w:t>22,00</w:t>
      </w:r>
      <w:r w:rsidRPr="006D08B1">
        <w:rPr>
          <w:rFonts w:asciiTheme="minorHAnsi" w:hAnsiTheme="minorHAnsi" w:cstheme="minorHAnsi"/>
          <w:sz w:val="20"/>
          <w:szCs w:val="20"/>
        </w:rPr>
        <w:t xml:space="preserve"> X 100 / </w:t>
      </w:r>
      <w:r>
        <w:rPr>
          <w:rFonts w:asciiTheme="minorHAnsi" w:hAnsiTheme="minorHAnsi" w:cstheme="minorHAnsi"/>
          <w:sz w:val="20"/>
          <w:szCs w:val="20"/>
        </w:rPr>
        <w:t>4,69</w:t>
      </w:r>
      <w:r w:rsidRPr="006D08B1">
        <w:rPr>
          <w:rFonts w:asciiTheme="minorHAnsi" w:hAnsiTheme="minorHAnsi" w:cstheme="minorHAnsi"/>
          <w:sz w:val="20"/>
          <w:szCs w:val="20"/>
        </w:rPr>
        <w:t xml:space="preserve"> = </w:t>
      </w:r>
      <w:r w:rsidR="00124A2C">
        <w:rPr>
          <w:rFonts w:asciiTheme="minorHAnsi" w:hAnsiTheme="minorHAnsi" w:cstheme="minorHAnsi"/>
          <w:sz w:val="20"/>
          <w:szCs w:val="20"/>
        </w:rPr>
        <w:t>469,08</w:t>
      </w:r>
      <w:r w:rsidRPr="006D08B1">
        <w:rPr>
          <w:rFonts w:asciiTheme="minorHAnsi" w:hAnsiTheme="minorHAnsi" w:cstheme="minorHAnsi"/>
          <w:sz w:val="20"/>
          <w:szCs w:val="20"/>
        </w:rPr>
        <w:t xml:space="preserve"> – 100 = </w:t>
      </w:r>
      <w:r w:rsidR="008028A2">
        <w:rPr>
          <w:rFonts w:asciiTheme="minorHAnsi" w:hAnsiTheme="minorHAnsi" w:cstheme="minorHAnsi"/>
          <w:sz w:val="20"/>
          <w:szCs w:val="20"/>
        </w:rPr>
        <w:t>369,08</w:t>
      </w:r>
      <w:r w:rsidRPr="006D08B1">
        <w:rPr>
          <w:rFonts w:asciiTheme="minorHAnsi" w:hAnsiTheme="minorHAnsi" w:cstheme="minorHAnsi"/>
          <w:sz w:val="20"/>
          <w:szCs w:val="20"/>
        </w:rPr>
        <w:t>%.</w:t>
      </w:r>
    </w:p>
  </w:footnote>
  <w:footnote w:id="8">
    <w:p w14:paraId="1C24A7A1" w14:textId="77777777" w:rsidR="00B52FF3" w:rsidRPr="006D08B1" w:rsidRDefault="00B52FF3" w:rsidP="00B52FF3">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Disponível em: </w:t>
      </w:r>
      <w:hyperlink r:id="rId2" w:history="1">
        <w:r w:rsidRPr="006D08B1">
          <w:rPr>
            <w:rStyle w:val="Hyperlink"/>
            <w:rFonts w:asciiTheme="minorHAnsi" w:hAnsiTheme="minorHAnsi" w:cstheme="minorHAnsi"/>
            <w:sz w:val="20"/>
            <w:szCs w:val="20"/>
          </w:rPr>
          <w:t>https://www3.bcb.gov.br/sgspub/localizarseries/localizarSeries.do?method=prepararTelaLocalizarSeries</w:t>
        </w:r>
      </w:hyperlink>
      <w:r w:rsidRPr="006D08B1">
        <w:rPr>
          <w:rFonts w:asciiTheme="minorHAnsi" w:hAnsiTheme="minorHAnsi" w:cstheme="minorHAnsi"/>
          <w:sz w:val="20"/>
          <w:szCs w:val="20"/>
        </w:rPr>
        <w:t>. Acesso em XX/XX/XXXX.</w:t>
      </w:r>
    </w:p>
  </w:footnote>
  <w:footnote w:id="9">
    <w:p w14:paraId="453F86AF" w14:textId="77777777" w:rsidR="00B52FF3" w:rsidRPr="006D08B1" w:rsidRDefault="00B52FF3" w:rsidP="00B52FF3">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Este valor é alcançado por meio da seguinte regra de três: </w:t>
      </w:r>
    </w:p>
    <w:p w14:paraId="311EAE15" w14:textId="77777777" w:rsidR="00B52FF3" w:rsidRPr="006D08B1" w:rsidRDefault="00B52FF3" w:rsidP="00B52FF3">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              TAXA MÉDIA ----- 100                      X = TC X 100 ÷ TM          </w:t>
      </w:r>
    </w:p>
    <w:p w14:paraId="0109328D" w14:textId="77777777" w:rsidR="00B52FF3" w:rsidRPr="006D08B1" w:rsidRDefault="00B52FF3" w:rsidP="00B52FF3">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TAXA CONTRATUAL -------- X                                                     </w:t>
      </w:r>
    </w:p>
    <w:p w14:paraId="58E4F34F" w14:textId="77777777" w:rsidR="00B52FF3" w:rsidRPr="006D08B1" w:rsidRDefault="00B52FF3" w:rsidP="00B52FF3">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Para transformar o resultado em valor percentual: resultado -100 = XXX %, que é a diferença entre as taxas. No caso em estudo: </w:t>
      </w:r>
      <w:r>
        <w:rPr>
          <w:rFonts w:asciiTheme="minorHAnsi" w:hAnsiTheme="minorHAnsi" w:cstheme="minorHAnsi"/>
          <w:sz w:val="20"/>
          <w:szCs w:val="20"/>
        </w:rPr>
        <w:t>22,00</w:t>
      </w:r>
      <w:r w:rsidRPr="006D08B1">
        <w:rPr>
          <w:rFonts w:asciiTheme="minorHAnsi" w:hAnsiTheme="minorHAnsi" w:cstheme="minorHAnsi"/>
          <w:sz w:val="20"/>
          <w:szCs w:val="20"/>
        </w:rPr>
        <w:t xml:space="preserve"> X 100 / </w:t>
      </w:r>
      <w:r>
        <w:rPr>
          <w:rFonts w:asciiTheme="minorHAnsi" w:hAnsiTheme="minorHAnsi" w:cstheme="minorHAnsi"/>
          <w:sz w:val="20"/>
          <w:szCs w:val="20"/>
        </w:rPr>
        <w:t>4,69</w:t>
      </w:r>
      <w:r w:rsidRPr="006D08B1">
        <w:rPr>
          <w:rFonts w:asciiTheme="minorHAnsi" w:hAnsiTheme="minorHAnsi" w:cstheme="minorHAnsi"/>
          <w:sz w:val="20"/>
          <w:szCs w:val="20"/>
        </w:rPr>
        <w:t xml:space="preserve"> = </w:t>
      </w:r>
      <w:r>
        <w:rPr>
          <w:rFonts w:asciiTheme="minorHAnsi" w:hAnsiTheme="minorHAnsi" w:cstheme="minorHAnsi"/>
          <w:sz w:val="20"/>
          <w:szCs w:val="20"/>
        </w:rPr>
        <w:t>469,08</w:t>
      </w:r>
      <w:r w:rsidRPr="006D08B1">
        <w:rPr>
          <w:rFonts w:asciiTheme="minorHAnsi" w:hAnsiTheme="minorHAnsi" w:cstheme="minorHAnsi"/>
          <w:sz w:val="20"/>
          <w:szCs w:val="20"/>
        </w:rPr>
        <w:t xml:space="preserve"> – 100 = </w:t>
      </w:r>
      <w:r>
        <w:rPr>
          <w:rFonts w:asciiTheme="minorHAnsi" w:hAnsiTheme="minorHAnsi" w:cstheme="minorHAnsi"/>
          <w:sz w:val="20"/>
          <w:szCs w:val="20"/>
        </w:rPr>
        <w:t>369,08</w:t>
      </w:r>
      <w:r w:rsidRPr="006D08B1">
        <w:rPr>
          <w:rFonts w:asciiTheme="minorHAnsi" w:hAnsiTheme="minorHAnsi" w:cstheme="minorHAnsi"/>
          <w:sz w:val="20"/>
          <w:szCs w:val="20"/>
        </w:rPr>
        <w:t>%.</w:t>
      </w:r>
    </w:p>
  </w:footnote>
  <w:footnote w:id="10">
    <w:p w14:paraId="0CBA9F2D" w14:textId="77777777" w:rsidR="002771FE" w:rsidRPr="006D08B1" w:rsidRDefault="002771FE" w:rsidP="006D08B1">
      <w:pPr>
        <w:tabs>
          <w:tab w:val="left" w:pos="2160"/>
        </w:tabs>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6D08B1">
        <w:rPr>
          <w:rFonts w:asciiTheme="minorHAnsi" w:hAnsiTheme="minorHAnsi" w:cstheme="minorHAnsi"/>
          <w:b/>
          <w:bCs/>
          <w:sz w:val="20"/>
          <w:szCs w:val="20"/>
        </w:rPr>
        <w:t>CONFIGURAÇÃO DA MORA</w:t>
      </w:r>
      <w:r w:rsidRPr="006D08B1">
        <w:rPr>
          <w:rFonts w:asciiTheme="minorHAnsi" w:hAnsiTheme="minorHAnsi" w:cstheme="minorHAnsi"/>
          <w:sz w:val="20"/>
          <w:szCs w:val="20"/>
        </w:rPr>
        <w:t xml:space="preserve"> a) O reconhecimento da </w:t>
      </w:r>
      <w:r w:rsidRPr="006D08B1">
        <w:rPr>
          <w:rFonts w:asciiTheme="minorHAnsi" w:hAnsiTheme="minorHAnsi" w:cstheme="minorHAnsi"/>
          <w:sz w:val="20"/>
          <w:szCs w:val="20"/>
          <w:u w:val="single"/>
        </w:rPr>
        <w:t>abusividade nos encargos exigidos no período da normalidade</w:t>
      </w:r>
      <w:r w:rsidRPr="006D08B1">
        <w:rPr>
          <w:rFonts w:asciiTheme="minorHAnsi" w:hAnsiTheme="minorHAnsi" w:cstheme="minorHAnsi"/>
          <w:sz w:val="20"/>
          <w:szCs w:val="20"/>
        </w:rPr>
        <w:t xml:space="preserve"> contratual (juros remuneratórios e capitalização) </w:t>
      </w:r>
      <w:r w:rsidRPr="006D08B1">
        <w:rPr>
          <w:rFonts w:asciiTheme="minorHAnsi" w:hAnsiTheme="minorHAnsi" w:cstheme="minorHAnsi"/>
          <w:b/>
          <w:bCs/>
          <w:sz w:val="20"/>
          <w:szCs w:val="20"/>
        </w:rPr>
        <w:t>descaracteriza a mora</w:t>
      </w:r>
      <w:r w:rsidRPr="006D08B1">
        <w:rPr>
          <w:rFonts w:asciiTheme="minorHAnsi" w:hAnsiTheme="minorHAnsi" w:cstheme="minorHAnsi"/>
          <w:sz w:val="20"/>
          <w:szCs w:val="20"/>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6D08B1" w:rsidRDefault="002771FE" w:rsidP="006D08B1">
      <w:pPr>
        <w:pStyle w:val="Textodenotaderodap"/>
        <w:spacing w:after="0" w:line="240" w:lineRule="auto"/>
        <w:jc w:val="both"/>
        <w:rPr>
          <w:rFonts w:asciiTheme="minorHAnsi" w:hAnsiTheme="minorHAnsi" w:cstheme="minorHAnsi"/>
          <w:sz w:val="20"/>
          <w:szCs w:val="20"/>
        </w:rPr>
      </w:pPr>
    </w:p>
  </w:footnote>
  <w:footnote w:id="11">
    <w:p w14:paraId="6BB680CE" w14:textId="2739E79F" w:rsidR="00D23AF5" w:rsidRPr="006D08B1" w:rsidRDefault="00D23AF5" w:rsidP="006D08B1">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ST</w:t>
      </w:r>
      <w:r w:rsidR="003C6866" w:rsidRPr="006D08B1">
        <w:rPr>
          <w:rFonts w:asciiTheme="minorHAnsi" w:hAnsiTheme="minorHAnsi" w:cstheme="minorHAnsi"/>
          <w:sz w:val="20"/>
          <w:szCs w:val="20"/>
        </w:rPr>
        <w:t>J</w:t>
      </w:r>
      <w:r w:rsidRPr="006D08B1">
        <w:rPr>
          <w:rFonts w:asciiTheme="minorHAnsi" w:hAnsiTheme="minorHAnsi" w:cstheme="minorHAnsi"/>
          <w:sz w:val="20"/>
          <w:szCs w:val="20"/>
        </w:rPr>
        <w:t xml:space="preserve"> [...]13. </w:t>
      </w:r>
      <w:r w:rsidRPr="006D08B1">
        <w:rPr>
          <w:rFonts w:asciiTheme="minorHAnsi" w:hAnsiTheme="minorHAnsi" w:cstheme="minorHAnsi"/>
          <w:b/>
          <w:bCs/>
          <w:sz w:val="20"/>
          <w:szCs w:val="20"/>
        </w:rPr>
        <w:t>Fixação das seguintes teses</w:t>
      </w:r>
      <w:r w:rsidRPr="006D08B1">
        <w:rPr>
          <w:rFonts w:asciiTheme="minorHAnsi" w:hAnsiTheme="minorHAnsi" w:cstheme="minorHAnsi"/>
          <w:sz w:val="20"/>
          <w:szCs w:val="20"/>
        </w:rPr>
        <w:t xml:space="preserve">. Primeira tese: A </w:t>
      </w:r>
      <w:r w:rsidRPr="006D08B1">
        <w:rPr>
          <w:rFonts w:asciiTheme="minorHAnsi" w:hAnsiTheme="minorHAnsi" w:cstheme="minorHAnsi"/>
          <w:sz w:val="20"/>
          <w:szCs w:val="20"/>
          <w:u w:val="single"/>
        </w:rPr>
        <w:t>restituição em dobro do indébito</w:t>
      </w:r>
      <w:r w:rsidRPr="006D08B1">
        <w:rPr>
          <w:rFonts w:asciiTheme="minorHAnsi" w:hAnsiTheme="minorHAnsi" w:cstheme="minorHAnsi"/>
          <w:sz w:val="20"/>
          <w:szCs w:val="20"/>
        </w:rPr>
        <w:t xml:space="preserve"> (parágrafo único do artigo 42 do CDC) </w:t>
      </w:r>
      <w:r w:rsidRPr="006D08B1">
        <w:rPr>
          <w:rFonts w:asciiTheme="minorHAnsi" w:hAnsiTheme="minorHAnsi" w:cstheme="minorHAnsi"/>
          <w:sz w:val="20"/>
          <w:szCs w:val="20"/>
          <w:u w:val="single"/>
        </w:rPr>
        <w:t>independe da natureza do elemento volitivo do fornecedor</w:t>
      </w:r>
      <w:r w:rsidRPr="006D08B1">
        <w:rPr>
          <w:rFonts w:asciiTheme="minorHAnsi" w:hAnsiTheme="minorHAnsi" w:cstheme="minorHAnsi"/>
          <w:sz w:val="20"/>
          <w:szCs w:val="20"/>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2">
    <w:p w14:paraId="7EF33666" w14:textId="5C128BBC" w:rsidR="00014E9D" w:rsidRPr="006D08B1" w:rsidRDefault="00014E9D" w:rsidP="006D08B1">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A inversão do ônus da prova não   é   regra estática de julgamento, mas norma dinâmica de procedimento/instrução (EREsp 422.778/SP, Rel. Ministro João Otávio de Noronha, Rel. p/ acórdão Ministra Maria Isabel Gallotti, Segunda </w:t>
      </w:r>
      <w:r w:rsidR="00535B1D" w:rsidRPr="006D08B1">
        <w:rPr>
          <w:rFonts w:asciiTheme="minorHAnsi" w:hAnsiTheme="minorHAnsi" w:cstheme="minorHAnsi"/>
          <w:sz w:val="20"/>
          <w:szCs w:val="20"/>
        </w:rPr>
        <w:t xml:space="preserve">Seção, </w:t>
      </w:r>
      <w:proofErr w:type="gramStart"/>
      <w:r w:rsidR="00535B1D" w:rsidRPr="006D08B1">
        <w:rPr>
          <w:rFonts w:asciiTheme="minorHAnsi" w:hAnsiTheme="minorHAnsi" w:cstheme="minorHAnsi"/>
          <w:sz w:val="20"/>
          <w:szCs w:val="20"/>
        </w:rPr>
        <w:t>DJe</w:t>
      </w:r>
      <w:r w:rsidRPr="006D08B1">
        <w:rPr>
          <w:rFonts w:asciiTheme="minorHAnsi" w:hAnsiTheme="minorHAnsi" w:cstheme="minorHAnsi"/>
          <w:sz w:val="20"/>
          <w:szCs w:val="20"/>
        </w:rPr>
        <w:t xml:space="preserve">  21.6.2012</w:t>
      </w:r>
      <w:proofErr w:type="gramEnd"/>
      <w:r w:rsidRPr="006D08B1">
        <w:rPr>
          <w:rFonts w:asciiTheme="minorHAnsi" w:hAnsiTheme="minorHAnsi" w:cstheme="minorHAnsi"/>
          <w:sz w:val="20"/>
          <w:szCs w:val="20"/>
        </w:rPr>
        <w:t>). ... (REsp 1806813/SP, Rel. Ministro HERMAN BENJAMIN, SEGUNDA TURMA, julgado em 15/08/2019, DJe 10/09/2019)</w:t>
      </w:r>
    </w:p>
  </w:footnote>
  <w:footnote w:id="13">
    <w:p w14:paraId="72DCC317" w14:textId="77777777" w:rsidR="00D26FF8" w:rsidRPr="006D08B1" w:rsidRDefault="00D26FF8" w:rsidP="006D08B1">
      <w:pPr>
        <w:pStyle w:val="Textodenotaderodap"/>
        <w:spacing w:after="0" w:line="240" w:lineRule="auto"/>
        <w:jc w:val="both"/>
        <w:rPr>
          <w:rFonts w:asciiTheme="minorHAnsi" w:hAnsiTheme="minorHAnsi" w:cstheme="minorHAnsi"/>
          <w:sz w:val="20"/>
          <w:szCs w:val="20"/>
        </w:rPr>
      </w:pPr>
      <w:r w:rsidRPr="006D08B1">
        <w:rPr>
          <w:rStyle w:val="Refdenotaderodap"/>
          <w:rFonts w:asciiTheme="minorHAnsi" w:hAnsiTheme="minorHAnsi" w:cstheme="minorHAnsi"/>
          <w:sz w:val="20"/>
          <w:szCs w:val="20"/>
        </w:rPr>
        <w:footnoteRef/>
      </w:r>
      <w:r w:rsidRPr="006D08B1">
        <w:rPr>
          <w:rFonts w:asciiTheme="minorHAnsi" w:hAnsiTheme="minorHAnsi" w:cstheme="minorHAnsi"/>
          <w:sz w:val="20"/>
          <w:szCs w:val="20"/>
        </w:rPr>
        <w:t xml:space="preserve"> Foram aceitas a revisão dos juros:</w:t>
      </w:r>
    </w:p>
    <w:p w14:paraId="5B0D4FC8" w14:textId="0915746B" w:rsidR="00A22FF3" w:rsidRPr="006D08B1" w:rsidRDefault="00A22FF3" w:rsidP="006D08B1">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De 2,92% am para 1,67% am</w:t>
      </w:r>
      <w:r w:rsidR="00413A61" w:rsidRPr="006D08B1">
        <w:rPr>
          <w:rFonts w:asciiTheme="minorHAnsi" w:hAnsiTheme="minorHAnsi" w:cstheme="minorHAnsi"/>
          <w:sz w:val="20"/>
          <w:szCs w:val="20"/>
        </w:rPr>
        <w:t xml:space="preserve"> – diferença de 74% </w:t>
      </w:r>
      <w:r w:rsidR="00F0313C" w:rsidRPr="006D08B1">
        <w:rPr>
          <w:rFonts w:asciiTheme="minorHAnsi" w:hAnsiTheme="minorHAnsi" w:cstheme="minorHAnsi"/>
          <w:sz w:val="20"/>
          <w:szCs w:val="20"/>
        </w:rPr>
        <w:t>(</w:t>
      </w:r>
      <w:r w:rsidR="00413A61" w:rsidRPr="006D08B1">
        <w:rPr>
          <w:rFonts w:asciiTheme="minorHAnsi" w:hAnsiTheme="minorHAnsi" w:cstheme="minorHAnsi"/>
          <w:sz w:val="20"/>
          <w:szCs w:val="20"/>
        </w:rPr>
        <w:t>TJMS. Apelação Cível n. 0818196-74.2020.8.12.</w:t>
      </w:r>
      <w:r w:rsidR="00535B1D" w:rsidRPr="006D08B1">
        <w:rPr>
          <w:rFonts w:asciiTheme="minorHAnsi" w:hAnsiTheme="minorHAnsi" w:cstheme="minorHAnsi"/>
          <w:sz w:val="20"/>
          <w:szCs w:val="20"/>
        </w:rPr>
        <w:t>0001, Campo</w:t>
      </w:r>
      <w:r w:rsidR="00413A61" w:rsidRPr="006D08B1">
        <w:rPr>
          <w:rFonts w:asciiTheme="minorHAnsi" w:hAnsiTheme="minorHAnsi" w:cstheme="minorHAnsi"/>
          <w:sz w:val="20"/>
          <w:szCs w:val="20"/>
        </w:rPr>
        <w:t xml:space="preserve"> </w:t>
      </w:r>
      <w:r w:rsidR="00535B1D" w:rsidRPr="006D08B1">
        <w:rPr>
          <w:rFonts w:asciiTheme="minorHAnsi" w:hAnsiTheme="minorHAnsi" w:cstheme="minorHAnsi"/>
          <w:sz w:val="20"/>
          <w:szCs w:val="20"/>
        </w:rPr>
        <w:t>Grande, 3</w:t>
      </w:r>
      <w:r w:rsidR="00413A61" w:rsidRPr="006D08B1">
        <w:rPr>
          <w:rFonts w:asciiTheme="minorHAnsi" w:hAnsiTheme="minorHAnsi" w:cstheme="minorHAnsi"/>
          <w:sz w:val="20"/>
          <w:szCs w:val="20"/>
        </w:rPr>
        <w:t>ª Câmara Cível, Relator (a):  Des. Paulo Alberto de Oliveira, j: 24/03/2022, p:  28/03/2022)</w:t>
      </w:r>
    </w:p>
    <w:p w14:paraId="1A3548E3" w14:textId="3631543B" w:rsidR="00D26FF8" w:rsidRPr="006D08B1" w:rsidRDefault="00D26FF8" w:rsidP="006D08B1">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De 34,89% aa para 31,68% aa – diferença de 10,13% (TJMS. Apelação Cível n. 0814324-22.2018.8.12.</w:t>
      </w:r>
      <w:r w:rsidR="00535B1D" w:rsidRPr="006D08B1">
        <w:rPr>
          <w:rFonts w:asciiTheme="minorHAnsi" w:hAnsiTheme="minorHAnsi" w:cstheme="minorHAnsi"/>
          <w:sz w:val="20"/>
          <w:szCs w:val="20"/>
        </w:rPr>
        <w:t>0001, Campo</w:t>
      </w:r>
      <w:r w:rsidRPr="006D08B1">
        <w:rPr>
          <w:rFonts w:asciiTheme="minorHAnsi" w:hAnsiTheme="minorHAnsi" w:cstheme="minorHAnsi"/>
          <w:sz w:val="20"/>
          <w:szCs w:val="20"/>
        </w:rPr>
        <w:t xml:space="preserve"> </w:t>
      </w:r>
      <w:r w:rsidR="007A1C51" w:rsidRPr="006D08B1">
        <w:rPr>
          <w:rFonts w:asciiTheme="minorHAnsi" w:hAnsiTheme="minorHAnsi" w:cstheme="minorHAnsi"/>
          <w:sz w:val="20"/>
          <w:szCs w:val="20"/>
        </w:rPr>
        <w:t>Grande, 2</w:t>
      </w:r>
      <w:r w:rsidRPr="006D08B1">
        <w:rPr>
          <w:rFonts w:asciiTheme="minorHAnsi" w:hAnsiTheme="minorHAnsi" w:cstheme="minorHAnsi"/>
          <w:sz w:val="20"/>
          <w:szCs w:val="20"/>
        </w:rPr>
        <w:t>ª Câmara Cível, Relator (a):  Des. Marco André Nogueira Hanson, j: 19/01/2020, p:  20/01/2020)</w:t>
      </w:r>
    </w:p>
    <w:p w14:paraId="0939E5F0" w14:textId="189DF841" w:rsidR="007B5679" w:rsidRPr="006D08B1" w:rsidRDefault="00D26FF8" w:rsidP="006D08B1">
      <w:pPr>
        <w:pStyle w:val="Textodenotaderodap"/>
        <w:spacing w:after="0" w:line="240" w:lineRule="auto"/>
        <w:jc w:val="both"/>
        <w:rPr>
          <w:rFonts w:asciiTheme="minorHAnsi" w:hAnsiTheme="minorHAnsi" w:cstheme="minorHAnsi"/>
          <w:sz w:val="20"/>
          <w:szCs w:val="20"/>
        </w:rPr>
      </w:pPr>
      <w:r w:rsidRPr="006D08B1">
        <w:rPr>
          <w:rFonts w:asciiTheme="minorHAnsi" w:hAnsiTheme="minorHAnsi" w:cstheme="minorHAnsi"/>
          <w:sz w:val="20"/>
          <w:szCs w:val="20"/>
        </w:rPr>
        <w:t xml:space="preserve">de 27,46% aa para 24,25% aa – diferença de 13,23% (TJMS. Apelação Cível n. 0800620-88.2018.8.12.0017, Nova </w:t>
      </w:r>
      <w:r w:rsidR="00535B1D" w:rsidRPr="006D08B1">
        <w:rPr>
          <w:rFonts w:asciiTheme="minorHAnsi" w:hAnsiTheme="minorHAnsi" w:cstheme="minorHAnsi"/>
          <w:sz w:val="20"/>
          <w:szCs w:val="20"/>
        </w:rPr>
        <w:t>Andradina, 2</w:t>
      </w:r>
      <w:r w:rsidRPr="006D08B1">
        <w:rPr>
          <w:rFonts w:asciiTheme="minorHAnsi" w:hAnsiTheme="minorHAnsi" w:cstheme="minorHAnsi"/>
          <w:sz w:val="20"/>
          <w:szCs w:val="20"/>
        </w:rPr>
        <w:t>ª Câmara Cível, Relator (a):  Des. Marco André Nogueira Hanson, j: 14/11/2019, p:  18/11/2019);</w:t>
      </w:r>
    </w:p>
    <w:p w14:paraId="0E6A655A" w14:textId="7B066C24" w:rsidR="00D26FF8" w:rsidRPr="006D08B1" w:rsidRDefault="00D26FF8" w:rsidP="006D08B1">
      <w:pPr>
        <w:pStyle w:val="Textodenotaderodap"/>
        <w:spacing w:after="0" w:line="240" w:lineRule="auto"/>
        <w:jc w:val="both"/>
        <w:rPr>
          <w:rFonts w:asciiTheme="minorHAnsi" w:hAnsiTheme="minorHAnsi" w:cstheme="minorHAnsi"/>
          <w:sz w:val="20"/>
          <w:szCs w:val="20"/>
        </w:rPr>
      </w:pPr>
    </w:p>
  </w:footnote>
  <w:footnote w:id="14">
    <w:p w14:paraId="755306E2" w14:textId="77777777" w:rsidR="001768D8" w:rsidRPr="006D08B1" w:rsidRDefault="001768D8" w:rsidP="006D08B1">
      <w:pPr>
        <w:pStyle w:val="Textodenotaderodap"/>
        <w:spacing w:after="0" w:line="240" w:lineRule="auto"/>
        <w:jc w:val="both"/>
        <w:rPr>
          <w:sz w:val="20"/>
          <w:szCs w:val="20"/>
        </w:rPr>
      </w:pPr>
      <w:r w:rsidRPr="006D08B1">
        <w:rPr>
          <w:rStyle w:val="Refdenotaderodap"/>
          <w:sz w:val="20"/>
          <w:szCs w:val="20"/>
        </w:rPr>
        <w:footnoteRef/>
      </w:r>
      <w:r w:rsidRPr="006D08B1">
        <w:rPr>
          <w:sz w:val="20"/>
          <w:szCs w:val="20"/>
        </w:rPr>
        <w:t xml:space="preserve"> REsp 1061530/RS, Rel. Ministra NANCY ANDRIGHI, SEGUNDA SEÇÃO, julgado em 22/10/2008, DJe 10/03/2009</w:t>
      </w:r>
    </w:p>
  </w:footnote>
  <w:footnote w:id="15">
    <w:p w14:paraId="0D3C02F1" w14:textId="77777777" w:rsidR="001768D8" w:rsidRPr="006D08B1" w:rsidRDefault="001768D8" w:rsidP="006D08B1">
      <w:pPr>
        <w:pStyle w:val="Textodenotaderodap"/>
        <w:spacing w:after="0" w:line="240" w:lineRule="auto"/>
        <w:jc w:val="both"/>
        <w:rPr>
          <w:sz w:val="20"/>
          <w:szCs w:val="20"/>
        </w:rPr>
      </w:pPr>
      <w:r w:rsidRPr="006D08B1">
        <w:rPr>
          <w:rStyle w:val="Refdenotaderodap"/>
          <w:sz w:val="20"/>
          <w:szCs w:val="20"/>
        </w:rPr>
        <w:footnoteRef/>
      </w:r>
      <w:r w:rsidRPr="006D08B1">
        <w:rPr>
          <w:sz w:val="20"/>
          <w:szCs w:val="20"/>
        </w:rPr>
        <w:t xml:space="preserve"> ORIENTAÇÃO 4 - INSCRIÇÃO/MANUTENÇÃO EM CADASTRO DE INADIMPLENTES a) A abstenção da inscrição/manutenção em cadastro de inadimplentes, requerida em antecipação de tutela e/ou medida cautelar, somente será deferida se, cumulativamente: i) a ação for fundada em questionamento integral ou parcial do débito; ii) houver demonstração de que a cobrança indevida se funda na aparência do bom direito e em jurisprudência consolidada do STF ou STJ; iii) houver depósito da parcela incontroversa ou for prestada a caução fixada conforme o prudente arbítrio do juiz; b) A inscrição/manutenção do nome do devedor em cadastro de inadimplentes decidida na sentença ou no acórdão observará o que for decidido no mérito do processo. [...] (REsp 1061530/RS, Rel. Ministra NANCY ANDRIGHI, SEGUNDA SEÇÃO, julgado em 22/10/2008, DJe 10/03/2009)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4993C96"/>
    <w:multiLevelType w:val="hybridMultilevel"/>
    <w:tmpl w:val="0250047C"/>
    <w:lvl w:ilvl="0" w:tplc="03EA880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2F612C1"/>
    <w:multiLevelType w:val="hybridMultilevel"/>
    <w:tmpl w:val="D0AE62A0"/>
    <w:lvl w:ilvl="0" w:tplc="FFFFFFFF">
      <w:start w:val="1"/>
      <w:numFmt w:val="lowerLetter"/>
      <w:lvlText w:val="%1)"/>
      <w:lvlJc w:val="left"/>
      <w:pPr>
        <w:ind w:left="2345" w:hanging="360"/>
      </w:pPr>
      <w:rPr>
        <w:rFonts w:hint="default"/>
      </w:r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6"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2"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5"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6"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9"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885333627">
    <w:abstractNumId w:val="30"/>
  </w:num>
  <w:num w:numId="2" w16cid:durableId="1298145862">
    <w:abstractNumId w:val="13"/>
  </w:num>
  <w:num w:numId="3" w16cid:durableId="1470899181">
    <w:abstractNumId w:val="24"/>
  </w:num>
  <w:num w:numId="4" w16cid:durableId="1295528798">
    <w:abstractNumId w:val="8"/>
  </w:num>
  <w:num w:numId="5" w16cid:durableId="810945040">
    <w:abstractNumId w:val="25"/>
  </w:num>
  <w:num w:numId="6" w16cid:durableId="735931715">
    <w:abstractNumId w:val="28"/>
  </w:num>
  <w:num w:numId="7" w16cid:durableId="411784081">
    <w:abstractNumId w:val="10"/>
  </w:num>
  <w:num w:numId="8" w16cid:durableId="1904025624">
    <w:abstractNumId w:val="0"/>
  </w:num>
  <w:num w:numId="9" w16cid:durableId="1944265310">
    <w:abstractNumId w:val="4"/>
  </w:num>
  <w:num w:numId="10" w16cid:durableId="207643255">
    <w:abstractNumId w:val="21"/>
  </w:num>
  <w:num w:numId="11" w16cid:durableId="2079206133">
    <w:abstractNumId w:val="7"/>
  </w:num>
  <w:num w:numId="12" w16cid:durableId="2145804148">
    <w:abstractNumId w:val="12"/>
  </w:num>
  <w:num w:numId="13" w16cid:durableId="2036996828">
    <w:abstractNumId w:val="7"/>
    <w:lvlOverride w:ilvl="0">
      <w:startOverride w:val="1"/>
    </w:lvlOverride>
  </w:num>
  <w:num w:numId="14" w16cid:durableId="531768273">
    <w:abstractNumId w:val="12"/>
    <w:lvlOverride w:ilvl="0">
      <w:startOverride w:val="1"/>
    </w:lvlOverride>
  </w:num>
  <w:num w:numId="15" w16cid:durableId="1088649982">
    <w:abstractNumId w:val="14"/>
  </w:num>
  <w:num w:numId="16" w16cid:durableId="150217690">
    <w:abstractNumId w:val="2"/>
  </w:num>
  <w:num w:numId="17" w16cid:durableId="589311025">
    <w:abstractNumId w:val="2"/>
  </w:num>
  <w:num w:numId="18" w16cid:durableId="815149446">
    <w:abstractNumId w:val="2"/>
  </w:num>
  <w:num w:numId="19" w16cid:durableId="701327367">
    <w:abstractNumId w:val="2"/>
  </w:num>
  <w:num w:numId="20" w16cid:durableId="1740904895">
    <w:abstractNumId w:val="2"/>
  </w:num>
  <w:num w:numId="21" w16cid:durableId="1930700115">
    <w:abstractNumId w:val="2"/>
  </w:num>
  <w:num w:numId="22" w16cid:durableId="1740058297">
    <w:abstractNumId w:val="2"/>
  </w:num>
  <w:num w:numId="23" w16cid:durableId="1888293616">
    <w:abstractNumId w:val="2"/>
  </w:num>
  <w:num w:numId="24" w16cid:durableId="773599826">
    <w:abstractNumId w:val="2"/>
  </w:num>
  <w:num w:numId="25" w16cid:durableId="1051229644">
    <w:abstractNumId w:val="23"/>
  </w:num>
  <w:num w:numId="26" w16cid:durableId="1458646467">
    <w:abstractNumId w:val="27"/>
  </w:num>
  <w:num w:numId="27" w16cid:durableId="19019116">
    <w:abstractNumId w:val="22"/>
  </w:num>
  <w:num w:numId="28" w16cid:durableId="178004723">
    <w:abstractNumId w:val="19"/>
  </w:num>
  <w:num w:numId="29" w16cid:durableId="2043937925">
    <w:abstractNumId w:val="18"/>
  </w:num>
  <w:num w:numId="30" w16cid:durableId="1997369586">
    <w:abstractNumId w:val="26"/>
  </w:num>
  <w:num w:numId="31" w16cid:durableId="1750419770">
    <w:abstractNumId w:val="16"/>
  </w:num>
  <w:num w:numId="32" w16cid:durableId="252780594">
    <w:abstractNumId w:val="3"/>
  </w:num>
  <w:num w:numId="33" w16cid:durableId="1606032455">
    <w:abstractNumId w:val="17"/>
  </w:num>
  <w:num w:numId="34" w16cid:durableId="798114010">
    <w:abstractNumId w:val="29"/>
  </w:num>
  <w:num w:numId="35" w16cid:durableId="1505582634">
    <w:abstractNumId w:val="5"/>
  </w:num>
  <w:num w:numId="36" w16cid:durableId="1292327273">
    <w:abstractNumId w:val="7"/>
    <w:lvlOverride w:ilvl="0">
      <w:startOverride w:val="1"/>
    </w:lvlOverride>
  </w:num>
  <w:num w:numId="37" w16cid:durableId="1324972596">
    <w:abstractNumId w:val="1"/>
  </w:num>
  <w:num w:numId="38" w16cid:durableId="521364675">
    <w:abstractNumId w:val="20"/>
  </w:num>
  <w:num w:numId="39" w16cid:durableId="1698119083">
    <w:abstractNumId w:val="9"/>
  </w:num>
  <w:num w:numId="40" w16cid:durableId="540942247">
    <w:abstractNumId w:val="6"/>
  </w:num>
  <w:num w:numId="41" w16cid:durableId="1082291704">
    <w:abstractNumId w:val="11"/>
  </w:num>
  <w:num w:numId="42" w16cid:durableId="9854765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5F00"/>
    <w:rsid w:val="00006804"/>
    <w:rsid w:val="00010A6A"/>
    <w:rsid w:val="00010C0E"/>
    <w:rsid w:val="00010DF8"/>
    <w:rsid w:val="00010E9E"/>
    <w:rsid w:val="000110B0"/>
    <w:rsid w:val="00011404"/>
    <w:rsid w:val="00014090"/>
    <w:rsid w:val="00014E9D"/>
    <w:rsid w:val="00014EC0"/>
    <w:rsid w:val="00014F50"/>
    <w:rsid w:val="00017FAC"/>
    <w:rsid w:val="00020335"/>
    <w:rsid w:val="0002140F"/>
    <w:rsid w:val="0002298F"/>
    <w:rsid w:val="00024DA0"/>
    <w:rsid w:val="000259CD"/>
    <w:rsid w:val="00025FA4"/>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5072"/>
    <w:rsid w:val="00046030"/>
    <w:rsid w:val="00046078"/>
    <w:rsid w:val="0004656A"/>
    <w:rsid w:val="000475EB"/>
    <w:rsid w:val="000501B3"/>
    <w:rsid w:val="00050227"/>
    <w:rsid w:val="000502F9"/>
    <w:rsid w:val="00050A85"/>
    <w:rsid w:val="0005170A"/>
    <w:rsid w:val="000524FD"/>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3CFE"/>
    <w:rsid w:val="00084D62"/>
    <w:rsid w:val="0008516E"/>
    <w:rsid w:val="000856C1"/>
    <w:rsid w:val="00085D4D"/>
    <w:rsid w:val="00085F9C"/>
    <w:rsid w:val="00085FB1"/>
    <w:rsid w:val="000863A5"/>
    <w:rsid w:val="000865BD"/>
    <w:rsid w:val="00086981"/>
    <w:rsid w:val="00087FCD"/>
    <w:rsid w:val="00090633"/>
    <w:rsid w:val="00090A44"/>
    <w:rsid w:val="00090AAC"/>
    <w:rsid w:val="00090DBB"/>
    <w:rsid w:val="00091F1E"/>
    <w:rsid w:val="00092B76"/>
    <w:rsid w:val="00093045"/>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284"/>
    <w:rsid w:val="000C27D8"/>
    <w:rsid w:val="000C2EA8"/>
    <w:rsid w:val="000C3BC4"/>
    <w:rsid w:val="000C3E00"/>
    <w:rsid w:val="000C3E2F"/>
    <w:rsid w:val="000C4AC6"/>
    <w:rsid w:val="000C6C53"/>
    <w:rsid w:val="000D2941"/>
    <w:rsid w:val="000D4C64"/>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042"/>
    <w:rsid w:val="000F17D6"/>
    <w:rsid w:val="000F17F5"/>
    <w:rsid w:val="000F189D"/>
    <w:rsid w:val="000F2B03"/>
    <w:rsid w:val="000F3D81"/>
    <w:rsid w:val="000F5A50"/>
    <w:rsid w:val="000F6F45"/>
    <w:rsid w:val="00100EA9"/>
    <w:rsid w:val="00101801"/>
    <w:rsid w:val="00101E94"/>
    <w:rsid w:val="0010203C"/>
    <w:rsid w:val="00102199"/>
    <w:rsid w:val="00102FB8"/>
    <w:rsid w:val="00103000"/>
    <w:rsid w:val="00103F48"/>
    <w:rsid w:val="00105867"/>
    <w:rsid w:val="0010616C"/>
    <w:rsid w:val="001067A2"/>
    <w:rsid w:val="00106BD7"/>
    <w:rsid w:val="00106F2A"/>
    <w:rsid w:val="00107154"/>
    <w:rsid w:val="00110335"/>
    <w:rsid w:val="0011209D"/>
    <w:rsid w:val="001132D9"/>
    <w:rsid w:val="00113615"/>
    <w:rsid w:val="0011437A"/>
    <w:rsid w:val="0011548D"/>
    <w:rsid w:val="00116505"/>
    <w:rsid w:val="001179D5"/>
    <w:rsid w:val="00120643"/>
    <w:rsid w:val="00122253"/>
    <w:rsid w:val="0012236E"/>
    <w:rsid w:val="0012449C"/>
    <w:rsid w:val="00124A2C"/>
    <w:rsid w:val="00124CCD"/>
    <w:rsid w:val="00125ADA"/>
    <w:rsid w:val="00130DCC"/>
    <w:rsid w:val="0013399D"/>
    <w:rsid w:val="00133F72"/>
    <w:rsid w:val="001343AB"/>
    <w:rsid w:val="0013568E"/>
    <w:rsid w:val="001357CD"/>
    <w:rsid w:val="00136B8C"/>
    <w:rsid w:val="00140726"/>
    <w:rsid w:val="00140C12"/>
    <w:rsid w:val="0014158B"/>
    <w:rsid w:val="00141BD9"/>
    <w:rsid w:val="00142631"/>
    <w:rsid w:val="0014513E"/>
    <w:rsid w:val="00146AD4"/>
    <w:rsid w:val="00146D49"/>
    <w:rsid w:val="001477AE"/>
    <w:rsid w:val="00147964"/>
    <w:rsid w:val="00147F74"/>
    <w:rsid w:val="001500DC"/>
    <w:rsid w:val="00150663"/>
    <w:rsid w:val="00153163"/>
    <w:rsid w:val="00153CC5"/>
    <w:rsid w:val="00153D8B"/>
    <w:rsid w:val="00154E0A"/>
    <w:rsid w:val="00155355"/>
    <w:rsid w:val="00155EE8"/>
    <w:rsid w:val="00156C8F"/>
    <w:rsid w:val="00156CFB"/>
    <w:rsid w:val="001575CB"/>
    <w:rsid w:val="00157CB9"/>
    <w:rsid w:val="001607F6"/>
    <w:rsid w:val="00160934"/>
    <w:rsid w:val="00160E60"/>
    <w:rsid w:val="00161756"/>
    <w:rsid w:val="00161928"/>
    <w:rsid w:val="00162C82"/>
    <w:rsid w:val="00162CB8"/>
    <w:rsid w:val="00163EB9"/>
    <w:rsid w:val="00164607"/>
    <w:rsid w:val="001668F4"/>
    <w:rsid w:val="00167199"/>
    <w:rsid w:val="001704EC"/>
    <w:rsid w:val="00170677"/>
    <w:rsid w:val="001707C7"/>
    <w:rsid w:val="001735DF"/>
    <w:rsid w:val="001737E8"/>
    <w:rsid w:val="00174411"/>
    <w:rsid w:val="001768D8"/>
    <w:rsid w:val="001776E4"/>
    <w:rsid w:val="00177844"/>
    <w:rsid w:val="00177FB6"/>
    <w:rsid w:val="00180628"/>
    <w:rsid w:val="00181481"/>
    <w:rsid w:val="00183CCA"/>
    <w:rsid w:val="001846A7"/>
    <w:rsid w:val="00185369"/>
    <w:rsid w:val="00185810"/>
    <w:rsid w:val="001859F0"/>
    <w:rsid w:val="00185B2C"/>
    <w:rsid w:val="00186142"/>
    <w:rsid w:val="001869E4"/>
    <w:rsid w:val="00186F3B"/>
    <w:rsid w:val="00190BDE"/>
    <w:rsid w:val="00190F97"/>
    <w:rsid w:val="00191798"/>
    <w:rsid w:val="00194574"/>
    <w:rsid w:val="00195A82"/>
    <w:rsid w:val="001A1169"/>
    <w:rsid w:val="001A1329"/>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B74A5"/>
    <w:rsid w:val="001C023F"/>
    <w:rsid w:val="001C0B4F"/>
    <w:rsid w:val="001C0F4D"/>
    <w:rsid w:val="001C1063"/>
    <w:rsid w:val="001C1263"/>
    <w:rsid w:val="001C1E56"/>
    <w:rsid w:val="001C29D4"/>
    <w:rsid w:val="001C371E"/>
    <w:rsid w:val="001C4B7E"/>
    <w:rsid w:val="001C6347"/>
    <w:rsid w:val="001C6C5C"/>
    <w:rsid w:val="001C7D38"/>
    <w:rsid w:val="001D0308"/>
    <w:rsid w:val="001D1C03"/>
    <w:rsid w:val="001D1F95"/>
    <w:rsid w:val="001D1F98"/>
    <w:rsid w:val="001D3210"/>
    <w:rsid w:val="001D3B2B"/>
    <w:rsid w:val="001D56D4"/>
    <w:rsid w:val="001D601B"/>
    <w:rsid w:val="001D6131"/>
    <w:rsid w:val="001D672A"/>
    <w:rsid w:val="001D687F"/>
    <w:rsid w:val="001D7F83"/>
    <w:rsid w:val="001E12E7"/>
    <w:rsid w:val="001E1766"/>
    <w:rsid w:val="001E1FA6"/>
    <w:rsid w:val="001E2325"/>
    <w:rsid w:val="001E3C32"/>
    <w:rsid w:val="001E4517"/>
    <w:rsid w:val="001E4B90"/>
    <w:rsid w:val="001E4F0A"/>
    <w:rsid w:val="001E782F"/>
    <w:rsid w:val="001F0A4E"/>
    <w:rsid w:val="001F0C63"/>
    <w:rsid w:val="001F1B22"/>
    <w:rsid w:val="001F1BF1"/>
    <w:rsid w:val="001F24E2"/>
    <w:rsid w:val="001F37C5"/>
    <w:rsid w:val="001F3BF7"/>
    <w:rsid w:val="001F3EFF"/>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68CD"/>
    <w:rsid w:val="00226936"/>
    <w:rsid w:val="00226C89"/>
    <w:rsid w:val="0022749A"/>
    <w:rsid w:val="00227FB2"/>
    <w:rsid w:val="00230472"/>
    <w:rsid w:val="00232B63"/>
    <w:rsid w:val="002333A2"/>
    <w:rsid w:val="0023367C"/>
    <w:rsid w:val="00233AAE"/>
    <w:rsid w:val="002345B5"/>
    <w:rsid w:val="00234615"/>
    <w:rsid w:val="0023495F"/>
    <w:rsid w:val="00235718"/>
    <w:rsid w:val="00236976"/>
    <w:rsid w:val="00237548"/>
    <w:rsid w:val="00237E32"/>
    <w:rsid w:val="002403A9"/>
    <w:rsid w:val="00240494"/>
    <w:rsid w:val="00242273"/>
    <w:rsid w:val="002424F3"/>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5EED"/>
    <w:rsid w:val="00256256"/>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09"/>
    <w:rsid w:val="00271510"/>
    <w:rsid w:val="002719F2"/>
    <w:rsid w:val="00271F05"/>
    <w:rsid w:val="00272370"/>
    <w:rsid w:val="0027389A"/>
    <w:rsid w:val="00274E94"/>
    <w:rsid w:val="00275F0E"/>
    <w:rsid w:val="00276459"/>
    <w:rsid w:val="00276F89"/>
    <w:rsid w:val="002771FE"/>
    <w:rsid w:val="002777A2"/>
    <w:rsid w:val="00277904"/>
    <w:rsid w:val="00281BDE"/>
    <w:rsid w:val="00281E1D"/>
    <w:rsid w:val="00281F28"/>
    <w:rsid w:val="00281F6F"/>
    <w:rsid w:val="00282692"/>
    <w:rsid w:val="0028386F"/>
    <w:rsid w:val="00283B85"/>
    <w:rsid w:val="002849C9"/>
    <w:rsid w:val="00287254"/>
    <w:rsid w:val="002872AD"/>
    <w:rsid w:val="0029096A"/>
    <w:rsid w:val="00293275"/>
    <w:rsid w:val="00293A9E"/>
    <w:rsid w:val="0029429E"/>
    <w:rsid w:val="0029442C"/>
    <w:rsid w:val="00296DBC"/>
    <w:rsid w:val="002A0396"/>
    <w:rsid w:val="002A29B4"/>
    <w:rsid w:val="002A3879"/>
    <w:rsid w:val="002A537E"/>
    <w:rsid w:val="002A72B9"/>
    <w:rsid w:val="002A7BB6"/>
    <w:rsid w:val="002B02E6"/>
    <w:rsid w:val="002B0640"/>
    <w:rsid w:val="002B159A"/>
    <w:rsid w:val="002B17CA"/>
    <w:rsid w:val="002B1E20"/>
    <w:rsid w:val="002B3300"/>
    <w:rsid w:val="002B3308"/>
    <w:rsid w:val="002B3B6B"/>
    <w:rsid w:val="002B4FAA"/>
    <w:rsid w:val="002B524E"/>
    <w:rsid w:val="002B54B6"/>
    <w:rsid w:val="002B7525"/>
    <w:rsid w:val="002C0827"/>
    <w:rsid w:val="002C1699"/>
    <w:rsid w:val="002C1CF2"/>
    <w:rsid w:val="002C1D2F"/>
    <w:rsid w:val="002C1EFE"/>
    <w:rsid w:val="002C2C55"/>
    <w:rsid w:val="002C4C1B"/>
    <w:rsid w:val="002C7ECE"/>
    <w:rsid w:val="002D10BB"/>
    <w:rsid w:val="002D1A2F"/>
    <w:rsid w:val="002D1A4E"/>
    <w:rsid w:val="002D2051"/>
    <w:rsid w:val="002D25E3"/>
    <w:rsid w:val="002D2917"/>
    <w:rsid w:val="002D2CAE"/>
    <w:rsid w:val="002D375D"/>
    <w:rsid w:val="002D3F49"/>
    <w:rsid w:val="002D4091"/>
    <w:rsid w:val="002D4AB5"/>
    <w:rsid w:val="002D4EB2"/>
    <w:rsid w:val="002D57FC"/>
    <w:rsid w:val="002D6F6E"/>
    <w:rsid w:val="002D7211"/>
    <w:rsid w:val="002D72B0"/>
    <w:rsid w:val="002D784E"/>
    <w:rsid w:val="002D7B90"/>
    <w:rsid w:val="002D7D27"/>
    <w:rsid w:val="002E01CD"/>
    <w:rsid w:val="002E1916"/>
    <w:rsid w:val="002E243C"/>
    <w:rsid w:val="002E275B"/>
    <w:rsid w:val="002E333C"/>
    <w:rsid w:val="002E3EBB"/>
    <w:rsid w:val="002E4643"/>
    <w:rsid w:val="002E7E44"/>
    <w:rsid w:val="002F3DE1"/>
    <w:rsid w:val="002F4197"/>
    <w:rsid w:val="002F49D8"/>
    <w:rsid w:val="002F5CA9"/>
    <w:rsid w:val="002F6A2C"/>
    <w:rsid w:val="002F6B05"/>
    <w:rsid w:val="002F6D61"/>
    <w:rsid w:val="002F7AE2"/>
    <w:rsid w:val="002F7AE3"/>
    <w:rsid w:val="00300A15"/>
    <w:rsid w:val="00301F7A"/>
    <w:rsid w:val="003022D3"/>
    <w:rsid w:val="00302A4D"/>
    <w:rsid w:val="00304EDB"/>
    <w:rsid w:val="00305208"/>
    <w:rsid w:val="003059F4"/>
    <w:rsid w:val="00306AEB"/>
    <w:rsid w:val="00306BF9"/>
    <w:rsid w:val="00307919"/>
    <w:rsid w:val="0031193B"/>
    <w:rsid w:val="003121FB"/>
    <w:rsid w:val="0031384B"/>
    <w:rsid w:val="00314091"/>
    <w:rsid w:val="003143DC"/>
    <w:rsid w:val="00315C58"/>
    <w:rsid w:val="00316DFF"/>
    <w:rsid w:val="00317B79"/>
    <w:rsid w:val="00321398"/>
    <w:rsid w:val="00322760"/>
    <w:rsid w:val="0032303C"/>
    <w:rsid w:val="00323491"/>
    <w:rsid w:val="00324DFD"/>
    <w:rsid w:val="0032503F"/>
    <w:rsid w:val="00325801"/>
    <w:rsid w:val="00326E85"/>
    <w:rsid w:val="00327C4A"/>
    <w:rsid w:val="00331F2B"/>
    <w:rsid w:val="0033260C"/>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5758"/>
    <w:rsid w:val="00366552"/>
    <w:rsid w:val="003665F9"/>
    <w:rsid w:val="003676C9"/>
    <w:rsid w:val="00370285"/>
    <w:rsid w:val="00370874"/>
    <w:rsid w:val="0037166C"/>
    <w:rsid w:val="00371A3F"/>
    <w:rsid w:val="00371DD2"/>
    <w:rsid w:val="00374ABF"/>
    <w:rsid w:val="00374B68"/>
    <w:rsid w:val="0037620C"/>
    <w:rsid w:val="003763BA"/>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95DBE"/>
    <w:rsid w:val="003A014C"/>
    <w:rsid w:val="003A0A9A"/>
    <w:rsid w:val="003A1201"/>
    <w:rsid w:val="003A13A6"/>
    <w:rsid w:val="003A1710"/>
    <w:rsid w:val="003A1AC5"/>
    <w:rsid w:val="003A224D"/>
    <w:rsid w:val="003A2450"/>
    <w:rsid w:val="003A2867"/>
    <w:rsid w:val="003A3ABD"/>
    <w:rsid w:val="003A4455"/>
    <w:rsid w:val="003A59D8"/>
    <w:rsid w:val="003A5F81"/>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1605"/>
    <w:rsid w:val="003C208A"/>
    <w:rsid w:val="003C4315"/>
    <w:rsid w:val="003C4806"/>
    <w:rsid w:val="003C51AA"/>
    <w:rsid w:val="003C631B"/>
    <w:rsid w:val="003C6866"/>
    <w:rsid w:val="003D024C"/>
    <w:rsid w:val="003D10DF"/>
    <w:rsid w:val="003D1925"/>
    <w:rsid w:val="003D1ED1"/>
    <w:rsid w:val="003D2017"/>
    <w:rsid w:val="003D2772"/>
    <w:rsid w:val="003D2AB7"/>
    <w:rsid w:val="003D31C3"/>
    <w:rsid w:val="003D345D"/>
    <w:rsid w:val="003D420C"/>
    <w:rsid w:val="003D5D11"/>
    <w:rsid w:val="003D650D"/>
    <w:rsid w:val="003D69AC"/>
    <w:rsid w:val="003D7B31"/>
    <w:rsid w:val="003E0BD3"/>
    <w:rsid w:val="003E0DB5"/>
    <w:rsid w:val="003E14BD"/>
    <w:rsid w:val="003E155C"/>
    <w:rsid w:val="003E1D92"/>
    <w:rsid w:val="003E23D1"/>
    <w:rsid w:val="003E3A23"/>
    <w:rsid w:val="003E516D"/>
    <w:rsid w:val="003E5DF8"/>
    <w:rsid w:val="003E7347"/>
    <w:rsid w:val="003F14FE"/>
    <w:rsid w:val="003F16E5"/>
    <w:rsid w:val="003F3C81"/>
    <w:rsid w:val="003F5E23"/>
    <w:rsid w:val="003F6983"/>
    <w:rsid w:val="003F7055"/>
    <w:rsid w:val="003F7732"/>
    <w:rsid w:val="0040161D"/>
    <w:rsid w:val="00404988"/>
    <w:rsid w:val="0040724E"/>
    <w:rsid w:val="004101B8"/>
    <w:rsid w:val="00410C4B"/>
    <w:rsid w:val="00411339"/>
    <w:rsid w:val="00412840"/>
    <w:rsid w:val="00413A61"/>
    <w:rsid w:val="00414FD0"/>
    <w:rsid w:val="00416463"/>
    <w:rsid w:val="00416524"/>
    <w:rsid w:val="00416FF3"/>
    <w:rsid w:val="004204D4"/>
    <w:rsid w:val="00426F55"/>
    <w:rsid w:val="00427D86"/>
    <w:rsid w:val="00430118"/>
    <w:rsid w:val="00430BBC"/>
    <w:rsid w:val="0043182F"/>
    <w:rsid w:val="0043282D"/>
    <w:rsid w:val="00434BCA"/>
    <w:rsid w:val="00436B89"/>
    <w:rsid w:val="004376E8"/>
    <w:rsid w:val="00440146"/>
    <w:rsid w:val="00441006"/>
    <w:rsid w:val="00441223"/>
    <w:rsid w:val="00441779"/>
    <w:rsid w:val="00443679"/>
    <w:rsid w:val="00443BA8"/>
    <w:rsid w:val="0044541A"/>
    <w:rsid w:val="00445854"/>
    <w:rsid w:val="00446BCD"/>
    <w:rsid w:val="00446DF7"/>
    <w:rsid w:val="00447A2C"/>
    <w:rsid w:val="00450750"/>
    <w:rsid w:val="00450EEA"/>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B1D"/>
    <w:rsid w:val="00471782"/>
    <w:rsid w:val="00471C04"/>
    <w:rsid w:val="0047274F"/>
    <w:rsid w:val="004727E4"/>
    <w:rsid w:val="004732D3"/>
    <w:rsid w:val="004759D0"/>
    <w:rsid w:val="00482093"/>
    <w:rsid w:val="00483372"/>
    <w:rsid w:val="00483E70"/>
    <w:rsid w:val="004846F4"/>
    <w:rsid w:val="00484965"/>
    <w:rsid w:val="004854E1"/>
    <w:rsid w:val="00485767"/>
    <w:rsid w:val="0048636D"/>
    <w:rsid w:val="0048725E"/>
    <w:rsid w:val="004905EF"/>
    <w:rsid w:val="004906FE"/>
    <w:rsid w:val="00490948"/>
    <w:rsid w:val="00490A63"/>
    <w:rsid w:val="004919E5"/>
    <w:rsid w:val="0049234D"/>
    <w:rsid w:val="0049253B"/>
    <w:rsid w:val="004928A2"/>
    <w:rsid w:val="00494FE1"/>
    <w:rsid w:val="0049662F"/>
    <w:rsid w:val="00497551"/>
    <w:rsid w:val="00497BB7"/>
    <w:rsid w:val="004A1176"/>
    <w:rsid w:val="004A2E8F"/>
    <w:rsid w:val="004A2F79"/>
    <w:rsid w:val="004A4A70"/>
    <w:rsid w:val="004A4C8B"/>
    <w:rsid w:val="004A5411"/>
    <w:rsid w:val="004A5434"/>
    <w:rsid w:val="004A56E0"/>
    <w:rsid w:val="004A5E87"/>
    <w:rsid w:val="004A65DA"/>
    <w:rsid w:val="004B0BF2"/>
    <w:rsid w:val="004B13BB"/>
    <w:rsid w:val="004B1E86"/>
    <w:rsid w:val="004B2C06"/>
    <w:rsid w:val="004B3FD1"/>
    <w:rsid w:val="004B4A37"/>
    <w:rsid w:val="004B51F3"/>
    <w:rsid w:val="004B5A78"/>
    <w:rsid w:val="004B732C"/>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2FF0"/>
    <w:rsid w:val="004D3BAE"/>
    <w:rsid w:val="004D3CAA"/>
    <w:rsid w:val="004D3E13"/>
    <w:rsid w:val="004D4168"/>
    <w:rsid w:val="004D4843"/>
    <w:rsid w:val="004D51D4"/>
    <w:rsid w:val="004D53FC"/>
    <w:rsid w:val="004D55AF"/>
    <w:rsid w:val="004D579F"/>
    <w:rsid w:val="004D5921"/>
    <w:rsid w:val="004D5E80"/>
    <w:rsid w:val="004E0D40"/>
    <w:rsid w:val="004E1C99"/>
    <w:rsid w:val="004E31BA"/>
    <w:rsid w:val="004E7744"/>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58A1"/>
    <w:rsid w:val="00516723"/>
    <w:rsid w:val="00517910"/>
    <w:rsid w:val="005204DA"/>
    <w:rsid w:val="00521DD2"/>
    <w:rsid w:val="00522F73"/>
    <w:rsid w:val="00523B97"/>
    <w:rsid w:val="0052536F"/>
    <w:rsid w:val="00525A8B"/>
    <w:rsid w:val="00526BC3"/>
    <w:rsid w:val="00527585"/>
    <w:rsid w:val="00527B98"/>
    <w:rsid w:val="00530B7F"/>
    <w:rsid w:val="005325B4"/>
    <w:rsid w:val="005325E6"/>
    <w:rsid w:val="005330CB"/>
    <w:rsid w:val="005331A2"/>
    <w:rsid w:val="005338C9"/>
    <w:rsid w:val="00535312"/>
    <w:rsid w:val="00535B1D"/>
    <w:rsid w:val="00535B82"/>
    <w:rsid w:val="005362A7"/>
    <w:rsid w:val="005369C1"/>
    <w:rsid w:val="00540F6D"/>
    <w:rsid w:val="00541E80"/>
    <w:rsid w:val="005427C0"/>
    <w:rsid w:val="0054481A"/>
    <w:rsid w:val="005451A3"/>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608EF"/>
    <w:rsid w:val="00561849"/>
    <w:rsid w:val="00561A62"/>
    <w:rsid w:val="005632C4"/>
    <w:rsid w:val="0056384D"/>
    <w:rsid w:val="00563BBB"/>
    <w:rsid w:val="00564C76"/>
    <w:rsid w:val="00564CB9"/>
    <w:rsid w:val="00564D5B"/>
    <w:rsid w:val="0056504F"/>
    <w:rsid w:val="00565B03"/>
    <w:rsid w:val="005675E4"/>
    <w:rsid w:val="00567EC6"/>
    <w:rsid w:val="0057243E"/>
    <w:rsid w:val="005728C0"/>
    <w:rsid w:val="00573DAF"/>
    <w:rsid w:val="0057769B"/>
    <w:rsid w:val="005808FA"/>
    <w:rsid w:val="00580969"/>
    <w:rsid w:val="00580A6C"/>
    <w:rsid w:val="00580E78"/>
    <w:rsid w:val="00582BB1"/>
    <w:rsid w:val="00583A6F"/>
    <w:rsid w:val="00584AAE"/>
    <w:rsid w:val="00585F44"/>
    <w:rsid w:val="00586721"/>
    <w:rsid w:val="00586893"/>
    <w:rsid w:val="005876AB"/>
    <w:rsid w:val="00590075"/>
    <w:rsid w:val="005917AC"/>
    <w:rsid w:val="00591887"/>
    <w:rsid w:val="00594746"/>
    <w:rsid w:val="00596886"/>
    <w:rsid w:val="00596E05"/>
    <w:rsid w:val="00597961"/>
    <w:rsid w:val="005A10EB"/>
    <w:rsid w:val="005A1AB0"/>
    <w:rsid w:val="005A1E50"/>
    <w:rsid w:val="005A20E6"/>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CC9"/>
    <w:rsid w:val="005D40CE"/>
    <w:rsid w:val="005D4105"/>
    <w:rsid w:val="005D7595"/>
    <w:rsid w:val="005D7A2D"/>
    <w:rsid w:val="005E0291"/>
    <w:rsid w:val="005E1238"/>
    <w:rsid w:val="005E17AD"/>
    <w:rsid w:val="005E1CB9"/>
    <w:rsid w:val="005E2364"/>
    <w:rsid w:val="005E310C"/>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207B"/>
    <w:rsid w:val="00604B89"/>
    <w:rsid w:val="00605891"/>
    <w:rsid w:val="00605AA0"/>
    <w:rsid w:val="00605F0B"/>
    <w:rsid w:val="00607B25"/>
    <w:rsid w:val="00611067"/>
    <w:rsid w:val="00611F98"/>
    <w:rsid w:val="00613DF0"/>
    <w:rsid w:val="00614531"/>
    <w:rsid w:val="006146E2"/>
    <w:rsid w:val="006149C2"/>
    <w:rsid w:val="00614F26"/>
    <w:rsid w:val="006157C1"/>
    <w:rsid w:val="00615CC3"/>
    <w:rsid w:val="00616BEE"/>
    <w:rsid w:val="00616D7F"/>
    <w:rsid w:val="00617C9D"/>
    <w:rsid w:val="006206E5"/>
    <w:rsid w:val="00620AEC"/>
    <w:rsid w:val="00620C40"/>
    <w:rsid w:val="00620FEC"/>
    <w:rsid w:val="0062107B"/>
    <w:rsid w:val="00621754"/>
    <w:rsid w:val="006222ED"/>
    <w:rsid w:val="0062241A"/>
    <w:rsid w:val="00625AB7"/>
    <w:rsid w:val="00625E90"/>
    <w:rsid w:val="00625F19"/>
    <w:rsid w:val="0062659E"/>
    <w:rsid w:val="006269D2"/>
    <w:rsid w:val="00627818"/>
    <w:rsid w:val="006347CE"/>
    <w:rsid w:val="00634978"/>
    <w:rsid w:val="00646AB1"/>
    <w:rsid w:val="00650843"/>
    <w:rsid w:val="0065229E"/>
    <w:rsid w:val="00652793"/>
    <w:rsid w:val="0065356D"/>
    <w:rsid w:val="00653E75"/>
    <w:rsid w:val="006547A7"/>
    <w:rsid w:val="00654B28"/>
    <w:rsid w:val="00655381"/>
    <w:rsid w:val="006608F3"/>
    <w:rsid w:val="006629CD"/>
    <w:rsid w:val="00662F9B"/>
    <w:rsid w:val="006639B8"/>
    <w:rsid w:val="006641BB"/>
    <w:rsid w:val="006647BC"/>
    <w:rsid w:val="006648A5"/>
    <w:rsid w:val="00664D11"/>
    <w:rsid w:val="00664FE1"/>
    <w:rsid w:val="006662C8"/>
    <w:rsid w:val="00666583"/>
    <w:rsid w:val="00666B9F"/>
    <w:rsid w:val="00666CAC"/>
    <w:rsid w:val="00667944"/>
    <w:rsid w:val="00667A5A"/>
    <w:rsid w:val="00667E76"/>
    <w:rsid w:val="00670F84"/>
    <w:rsid w:val="00672D0B"/>
    <w:rsid w:val="00673200"/>
    <w:rsid w:val="00673B23"/>
    <w:rsid w:val="006751CC"/>
    <w:rsid w:val="00675980"/>
    <w:rsid w:val="00676BB2"/>
    <w:rsid w:val="00677203"/>
    <w:rsid w:val="0067753E"/>
    <w:rsid w:val="00680087"/>
    <w:rsid w:val="00681017"/>
    <w:rsid w:val="0068177A"/>
    <w:rsid w:val="006818F1"/>
    <w:rsid w:val="00681BBC"/>
    <w:rsid w:val="0068308B"/>
    <w:rsid w:val="00685133"/>
    <w:rsid w:val="00685590"/>
    <w:rsid w:val="00686347"/>
    <w:rsid w:val="0068644A"/>
    <w:rsid w:val="0068649C"/>
    <w:rsid w:val="0069062A"/>
    <w:rsid w:val="00691ED9"/>
    <w:rsid w:val="0069246C"/>
    <w:rsid w:val="0069598B"/>
    <w:rsid w:val="00696DFF"/>
    <w:rsid w:val="006A1B3D"/>
    <w:rsid w:val="006A21F6"/>
    <w:rsid w:val="006A2A7A"/>
    <w:rsid w:val="006A32F4"/>
    <w:rsid w:val="006A33FD"/>
    <w:rsid w:val="006A3444"/>
    <w:rsid w:val="006A3AF1"/>
    <w:rsid w:val="006A42C6"/>
    <w:rsid w:val="006A47C5"/>
    <w:rsid w:val="006A4F07"/>
    <w:rsid w:val="006A6339"/>
    <w:rsid w:val="006A6820"/>
    <w:rsid w:val="006B2C8D"/>
    <w:rsid w:val="006B2FD7"/>
    <w:rsid w:val="006B3115"/>
    <w:rsid w:val="006B4415"/>
    <w:rsid w:val="006B54F8"/>
    <w:rsid w:val="006B5BC2"/>
    <w:rsid w:val="006B65DD"/>
    <w:rsid w:val="006B6F02"/>
    <w:rsid w:val="006B6F2D"/>
    <w:rsid w:val="006C164F"/>
    <w:rsid w:val="006C2E37"/>
    <w:rsid w:val="006C322F"/>
    <w:rsid w:val="006C3AE5"/>
    <w:rsid w:val="006C417A"/>
    <w:rsid w:val="006C4CC6"/>
    <w:rsid w:val="006C52A8"/>
    <w:rsid w:val="006C589B"/>
    <w:rsid w:val="006C5ED5"/>
    <w:rsid w:val="006C6E4C"/>
    <w:rsid w:val="006D022F"/>
    <w:rsid w:val="006D029E"/>
    <w:rsid w:val="006D08B1"/>
    <w:rsid w:val="006D470B"/>
    <w:rsid w:val="006D5B80"/>
    <w:rsid w:val="006E1BE2"/>
    <w:rsid w:val="006E3819"/>
    <w:rsid w:val="006E4552"/>
    <w:rsid w:val="006E4900"/>
    <w:rsid w:val="006E5D74"/>
    <w:rsid w:val="006E659F"/>
    <w:rsid w:val="006E7152"/>
    <w:rsid w:val="006E7C70"/>
    <w:rsid w:val="006F0481"/>
    <w:rsid w:val="006F0815"/>
    <w:rsid w:val="006F1716"/>
    <w:rsid w:val="006F2B60"/>
    <w:rsid w:val="006F3D5E"/>
    <w:rsid w:val="006F46AD"/>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2ABE"/>
    <w:rsid w:val="00723F4D"/>
    <w:rsid w:val="00725CC5"/>
    <w:rsid w:val="007276F9"/>
    <w:rsid w:val="00727BC8"/>
    <w:rsid w:val="007300A9"/>
    <w:rsid w:val="007303BB"/>
    <w:rsid w:val="00730C00"/>
    <w:rsid w:val="00731794"/>
    <w:rsid w:val="00732F1F"/>
    <w:rsid w:val="007330D5"/>
    <w:rsid w:val="0073380E"/>
    <w:rsid w:val="0073452B"/>
    <w:rsid w:val="0073546B"/>
    <w:rsid w:val="00736FA2"/>
    <w:rsid w:val="00737460"/>
    <w:rsid w:val="00740F8C"/>
    <w:rsid w:val="0074107C"/>
    <w:rsid w:val="00741282"/>
    <w:rsid w:val="00743D9B"/>
    <w:rsid w:val="007441A4"/>
    <w:rsid w:val="0074434E"/>
    <w:rsid w:val="0074585E"/>
    <w:rsid w:val="00747B6E"/>
    <w:rsid w:val="0075133E"/>
    <w:rsid w:val="00751E63"/>
    <w:rsid w:val="00752714"/>
    <w:rsid w:val="00753657"/>
    <w:rsid w:val="00754C86"/>
    <w:rsid w:val="007551C5"/>
    <w:rsid w:val="00755938"/>
    <w:rsid w:val="00760B16"/>
    <w:rsid w:val="00760EA4"/>
    <w:rsid w:val="0076232E"/>
    <w:rsid w:val="007653FB"/>
    <w:rsid w:val="007655F0"/>
    <w:rsid w:val="007657BB"/>
    <w:rsid w:val="00765FFB"/>
    <w:rsid w:val="007676C2"/>
    <w:rsid w:val="0077020D"/>
    <w:rsid w:val="007704BB"/>
    <w:rsid w:val="007704C0"/>
    <w:rsid w:val="00771449"/>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305"/>
    <w:rsid w:val="007965CB"/>
    <w:rsid w:val="00796939"/>
    <w:rsid w:val="0079718A"/>
    <w:rsid w:val="0079773B"/>
    <w:rsid w:val="0079775C"/>
    <w:rsid w:val="0079779C"/>
    <w:rsid w:val="007A08FD"/>
    <w:rsid w:val="007A1778"/>
    <w:rsid w:val="007A180F"/>
    <w:rsid w:val="007A1BC1"/>
    <w:rsid w:val="007A1C51"/>
    <w:rsid w:val="007A3171"/>
    <w:rsid w:val="007A3267"/>
    <w:rsid w:val="007A3391"/>
    <w:rsid w:val="007A4919"/>
    <w:rsid w:val="007A4C0B"/>
    <w:rsid w:val="007A4D24"/>
    <w:rsid w:val="007A52E1"/>
    <w:rsid w:val="007A6B94"/>
    <w:rsid w:val="007A6EC2"/>
    <w:rsid w:val="007B02B4"/>
    <w:rsid w:val="007B0F00"/>
    <w:rsid w:val="007B12E5"/>
    <w:rsid w:val="007B3E1D"/>
    <w:rsid w:val="007B5679"/>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0ADE"/>
    <w:rsid w:val="007D2C32"/>
    <w:rsid w:val="007D357A"/>
    <w:rsid w:val="007D43AB"/>
    <w:rsid w:val="007D46CC"/>
    <w:rsid w:val="007D4794"/>
    <w:rsid w:val="007D58CF"/>
    <w:rsid w:val="007D59EB"/>
    <w:rsid w:val="007D68D4"/>
    <w:rsid w:val="007D69F0"/>
    <w:rsid w:val="007E2E8E"/>
    <w:rsid w:val="007E31B3"/>
    <w:rsid w:val="007E5AFE"/>
    <w:rsid w:val="007E601D"/>
    <w:rsid w:val="007E64D2"/>
    <w:rsid w:val="007E6B49"/>
    <w:rsid w:val="007E740E"/>
    <w:rsid w:val="007E7DC8"/>
    <w:rsid w:val="007E7FF6"/>
    <w:rsid w:val="007F0486"/>
    <w:rsid w:val="007F1DCD"/>
    <w:rsid w:val="007F2001"/>
    <w:rsid w:val="007F3910"/>
    <w:rsid w:val="007F49A1"/>
    <w:rsid w:val="007F5A88"/>
    <w:rsid w:val="007F5EAF"/>
    <w:rsid w:val="007F6415"/>
    <w:rsid w:val="007F70CB"/>
    <w:rsid w:val="007F7839"/>
    <w:rsid w:val="00800B22"/>
    <w:rsid w:val="00800B74"/>
    <w:rsid w:val="00800CAE"/>
    <w:rsid w:val="008021C7"/>
    <w:rsid w:val="0080224E"/>
    <w:rsid w:val="008028A2"/>
    <w:rsid w:val="00802983"/>
    <w:rsid w:val="0080359E"/>
    <w:rsid w:val="0080381E"/>
    <w:rsid w:val="00803B93"/>
    <w:rsid w:val="00804EB1"/>
    <w:rsid w:val="008067A9"/>
    <w:rsid w:val="00806B8B"/>
    <w:rsid w:val="0080707B"/>
    <w:rsid w:val="008079BF"/>
    <w:rsid w:val="00807E75"/>
    <w:rsid w:val="00810D5F"/>
    <w:rsid w:val="00810E79"/>
    <w:rsid w:val="00811489"/>
    <w:rsid w:val="008138BE"/>
    <w:rsid w:val="00814191"/>
    <w:rsid w:val="00814337"/>
    <w:rsid w:val="0081631F"/>
    <w:rsid w:val="0081663A"/>
    <w:rsid w:val="0082016A"/>
    <w:rsid w:val="008208B4"/>
    <w:rsid w:val="008208C8"/>
    <w:rsid w:val="00820B89"/>
    <w:rsid w:val="0082137D"/>
    <w:rsid w:val="0082232B"/>
    <w:rsid w:val="00822964"/>
    <w:rsid w:val="008231E3"/>
    <w:rsid w:val="00823B35"/>
    <w:rsid w:val="008276E3"/>
    <w:rsid w:val="00827891"/>
    <w:rsid w:val="00827910"/>
    <w:rsid w:val="008339C2"/>
    <w:rsid w:val="0083486A"/>
    <w:rsid w:val="00836377"/>
    <w:rsid w:val="00837398"/>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4E8"/>
    <w:rsid w:val="00861F76"/>
    <w:rsid w:val="008624F7"/>
    <w:rsid w:val="0086256D"/>
    <w:rsid w:val="00862A8C"/>
    <w:rsid w:val="008662D4"/>
    <w:rsid w:val="008677EA"/>
    <w:rsid w:val="00867A50"/>
    <w:rsid w:val="00872448"/>
    <w:rsid w:val="0087255B"/>
    <w:rsid w:val="00872FE2"/>
    <w:rsid w:val="0087327D"/>
    <w:rsid w:val="008732EA"/>
    <w:rsid w:val="00873D50"/>
    <w:rsid w:val="008759F6"/>
    <w:rsid w:val="0087617E"/>
    <w:rsid w:val="00877548"/>
    <w:rsid w:val="008816D8"/>
    <w:rsid w:val="00882F73"/>
    <w:rsid w:val="00883CD7"/>
    <w:rsid w:val="00883FAF"/>
    <w:rsid w:val="00884B68"/>
    <w:rsid w:val="00884BC6"/>
    <w:rsid w:val="00884FFE"/>
    <w:rsid w:val="0088574C"/>
    <w:rsid w:val="008864E4"/>
    <w:rsid w:val="00886992"/>
    <w:rsid w:val="00886E36"/>
    <w:rsid w:val="0088777F"/>
    <w:rsid w:val="008901FD"/>
    <w:rsid w:val="00890B1D"/>
    <w:rsid w:val="008915FF"/>
    <w:rsid w:val="00893F16"/>
    <w:rsid w:val="008958D7"/>
    <w:rsid w:val="00896905"/>
    <w:rsid w:val="0089726D"/>
    <w:rsid w:val="008978D3"/>
    <w:rsid w:val="008A025D"/>
    <w:rsid w:val="008A2031"/>
    <w:rsid w:val="008A5C46"/>
    <w:rsid w:val="008A7104"/>
    <w:rsid w:val="008A720B"/>
    <w:rsid w:val="008A7471"/>
    <w:rsid w:val="008A7864"/>
    <w:rsid w:val="008A7A0D"/>
    <w:rsid w:val="008B1410"/>
    <w:rsid w:val="008B322F"/>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99B"/>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0C8D"/>
    <w:rsid w:val="008F2091"/>
    <w:rsid w:val="008F2D86"/>
    <w:rsid w:val="008F3AEF"/>
    <w:rsid w:val="008F3EF9"/>
    <w:rsid w:val="008F42A9"/>
    <w:rsid w:val="008F5C23"/>
    <w:rsid w:val="008F6245"/>
    <w:rsid w:val="008F69CD"/>
    <w:rsid w:val="008F70B5"/>
    <w:rsid w:val="009015F8"/>
    <w:rsid w:val="00901AB6"/>
    <w:rsid w:val="00902F5B"/>
    <w:rsid w:val="009030D0"/>
    <w:rsid w:val="009030E7"/>
    <w:rsid w:val="00904066"/>
    <w:rsid w:val="0090569B"/>
    <w:rsid w:val="009075FD"/>
    <w:rsid w:val="00907CE7"/>
    <w:rsid w:val="00910ADA"/>
    <w:rsid w:val="00911934"/>
    <w:rsid w:val="00912110"/>
    <w:rsid w:val="00913168"/>
    <w:rsid w:val="009144A1"/>
    <w:rsid w:val="00914EF1"/>
    <w:rsid w:val="00916592"/>
    <w:rsid w:val="009167A8"/>
    <w:rsid w:val="00916C08"/>
    <w:rsid w:val="00917A06"/>
    <w:rsid w:val="00917C7C"/>
    <w:rsid w:val="0092010C"/>
    <w:rsid w:val="009205AA"/>
    <w:rsid w:val="00920653"/>
    <w:rsid w:val="0092335A"/>
    <w:rsid w:val="009240ED"/>
    <w:rsid w:val="00924E33"/>
    <w:rsid w:val="00924E7B"/>
    <w:rsid w:val="00925501"/>
    <w:rsid w:val="00925ED3"/>
    <w:rsid w:val="00926399"/>
    <w:rsid w:val="00926E61"/>
    <w:rsid w:val="00930184"/>
    <w:rsid w:val="009327C1"/>
    <w:rsid w:val="00932B42"/>
    <w:rsid w:val="00932CA7"/>
    <w:rsid w:val="00933494"/>
    <w:rsid w:val="00933D24"/>
    <w:rsid w:val="00934F38"/>
    <w:rsid w:val="00935CEB"/>
    <w:rsid w:val="009373A3"/>
    <w:rsid w:val="00937D73"/>
    <w:rsid w:val="00941423"/>
    <w:rsid w:val="00941509"/>
    <w:rsid w:val="00941EE5"/>
    <w:rsid w:val="00943555"/>
    <w:rsid w:val="00944074"/>
    <w:rsid w:val="009444E2"/>
    <w:rsid w:val="00945184"/>
    <w:rsid w:val="00945E73"/>
    <w:rsid w:val="00947157"/>
    <w:rsid w:val="00947A81"/>
    <w:rsid w:val="00947FEF"/>
    <w:rsid w:val="00952016"/>
    <w:rsid w:val="00952DA5"/>
    <w:rsid w:val="009530F3"/>
    <w:rsid w:val="00953973"/>
    <w:rsid w:val="009568AD"/>
    <w:rsid w:val="00956AB8"/>
    <w:rsid w:val="009606CD"/>
    <w:rsid w:val="009638CF"/>
    <w:rsid w:val="00963CD9"/>
    <w:rsid w:val="00965807"/>
    <w:rsid w:val="00966A08"/>
    <w:rsid w:val="00967B01"/>
    <w:rsid w:val="00971FC5"/>
    <w:rsid w:val="00973569"/>
    <w:rsid w:val="00973FA5"/>
    <w:rsid w:val="009740CD"/>
    <w:rsid w:val="00974C68"/>
    <w:rsid w:val="00975CFD"/>
    <w:rsid w:val="00976001"/>
    <w:rsid w:val="009769B2"/>
    <w:rsid w:val="009809F4"/>
    <w:rsid w:val="00980CD2"/>
    <w:rsid w:val="0098128D"/>
    <w:rsid w:val="00981ADB"/>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44B8"/>
    <w:rsid w:val="009A4500"/>
    <w:rsid w:val="009A4ED8"/>
    <w:rsid w:val="009A72C8"/>
    <w:rsid w:val="009B06CD"/>
    <w:rsid w:val="009B0970"/>
    <w:rsid w:val="009B0E3C"/>
    <w:rsid w:val="009B23F9"/>
    <w:rsid w:val="009B3818"/>
    <w:rsid w:val="009B3973"/>
    <w:rsid w:val="009B3BB0"/>
    <w:rsid w:val="009B5FF8"/>
    <w:rsid w:val="009B6CD3"/>
    <w:rsid w:val="009B780C"/>
    <w:rsid w:val="009C00BC"/>
    <w:rsid w:val="009C055D"/>
    <w:rsid w:val="009C0ADF"/>
    <w:rsid w:val="009C0DB7"/>
    <w:rsid w:val="009C15AA"/>
    <w:rsid w:val="009C1844"/>
    <w:rsid w:val="009C2227"/>
    <w:rsid w:val="009C473E"/>
    <w:rsid w:val="009C4A01"/>
    <w:rsid w:val="009C7AF8"/>
    <w:rsid w:val="009C7DAE"/>
    <w:rsid w:val="009D01E5"/>
    <w:rsid w:val="009D157B"/>
    <w:rsid w:val="009D1956"/>
    <w:rsid w:val="009D324D"/>
    <w:rsid w:val="009D387E"/>
    <w:rsid w:val="009D57C9"/>
    <w:rsid w:val="009D59E7"/>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379"/>
    <w:rsid w:val="009E7E02"/>
    <w:rsid w:val="009F05E4"/>
    <w:rsid w:val="009F44F7"/>
    <w:rsid w:val="009F4ED0"/>
    <w:rsid w:val="009F5303"/>
    <w:rsid w:val="009F59D9"/>
    <w:rsid w:val="009F6E61"/>
    <w:rsid w:val="009F75D5"/>
    <w:rsid w:val="009F7749"/>
    <w:rsid w:val="00A00717"/>
    <w:rsid w:val="00A0114D"/>
    <w:rsid w:val="00A01E81"/>
    <w:rsid w:val="00A02C68"/>
    <w:rsid w:val="00A02D0A"/>
    <w:rsid w:val="00A03CA6"/>
    <w:rsid w:val="00A042A4"/>
    <w:rsid w:val="00A04905"/>
    <w:rsid w:val="00A05027"/>
    <w:rsid w:val="00A05DFB"/>
    <w:rsid w:val="00A06AE7"/>
    <w:rsid w:val="00A06F0E"/>
    <w:rsid w:val="00A07764"/>
    <w:rsid w:val="00A102F3"/>
    <w:rsid w:val="00A11530"/>
    <w:rsid w:val="00A1185E"/>
    <w:rsid w:val="00A12DC2"/>
    <w:rsid w:val="00A14B1B"/>
    <w:rsid w:val="00A155AC"/>
    <w:rsid w:val="00A161BC"/>
    <w:rsid w:val="00A16F33"/>
    <w:rsid w:val="00A173AB"/>
    <w:rsid w:val="00A17BBE"/>
    <w:rsid w:val="00A20CD7"/>
    <w:rsid w:val="00A20FD6"/>
    <w:rsid w:val="00A2112C"/>
    <w:rsid w:val="00A22561"/>
    <w:rsid w:val="00A22B1D"/>
    <w:rsid w:val="00A22B1F"/>
    <w:rsid w:val="00A22FF3"/>
    <w:rsid w:val="00A23C2D"/>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56E"/>
    <w:rsid w:val="00A365D6"/>
    <w:rsid w:val="00A36853"/>
    <w:rsid w:val="00A370E7"/>
    <w:rsid w:val="00A37308"/>
    <w:rsid w:val="00A42177"/>
    <w:rsid w:val="00A437C3"/>
    <w:rsid w:val="00A43F2C"/>
    <w:rsid w:val="00A44BFD"/>
    <w:rsid w:val="00A46CF7"/>
    <w:rsid w:val="00A47BCC"/>
    <w:rsid w:val="00A51014"/>
    <w:rsid w:val="00A5336D"/>
    <w:rsid w:val="00A53A7A"/>
    <w:rsid w:val="00A53D75"/>
    <w:rsid w:val="00A54AFD"/>
    <w:rsid w:val="00A55706"/>
    <w:rsid w:val="00A56C48"/>
    <w:rsid w:val="00A578E0"/>
    <w:rsid w:val="00A60735"/>
    <w:rsid w:val="00A60970"/>
    <w:rsid w:val="00A61570"/>
    <w:rsid w:val="00A61A5E"/>
    <w:rsid w:val="00A62AB9"/>
    <w:rsid w:val="00A6330B"/>
    <w:rsid w:val="00A63728"/>
    <w:rsid w:val="00A63E6F"/>
    <w:rsid w:val="00A64079"/>
    <w:rsid w:val="00A6662C"/>
    <w:rsid w:val="00A66BCF"/>
    <w:rsid w:val="00A713BB"/>
    <w:rsid w:val="00A7260F"/>
    <w:rsid w:val="00A76660"/>
    <w:rsid w:val="00A767B5"/>
    <w:rsid w:val="00A768BB"/>
    <w:rsid w:val="00A84250"/>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A7C0B"/>
    <w:rsid w:val="00AB1498"/>
    <w:rsid w:val="00AB2779"/>
    <w:rsid w:val="00AB30DD"/>
    <w:rsid w:val="00AB3FB1"/>
    <w:rsid w:val="00AB57F5"/>
    <w:rsid w:val="00AB6046"/>
    <w:rsid w:val="00AB74CD"/>
    <w:rsid w:val="00AB7D81"/>
    <w:rsid w:val="00AC0213"/>
    <w:rsid w:val="00AC16C3"/>
    <w:rsid w:val="00AC25EC"/>
    <w:rsid w:val="00AC2C5D"/>
    <w:rsid w:val="00AC30A2"/>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2D3B"/>
    <w:rsid w:val="00AE2E83"/>
    <w:rsid w:val="00AE3E60"/>
    <w:rsid w:val="00AE45C5"/>
    <w:rsid w:val="00AE4B46"/>
    <w:rsid w:val="00AE5B7B"/>
    <w:rsid w:val="00AE5CD7"/>
    <w:rsid w:val="00AE6154"/>
    <w:rsid w:val="00AE6433"/>
    <w:rsid w:val="00AE6BF4"/>
    <w:rsid w:val="00AE6F31"/>
    <w:rsid w:val="00AF0753"/>
    <w:rsid w:val="00AF184A"/>
    <w:rsid w:val="00AF2613"/>
    <w:rsid w:val="00AF2F7E"/>
    <w:rsid w:val="00AF364B"/>
    <w:rsid w:val="00AF3F38"/>
    <w:rsid w:val="00AF429E"/>
    <w:rsid w:val="00AF5AA4"/>
    <w:rsid w:val="00AF6AC2"/>
    <w:rsid w:val="00AF7ACE"/>
    <w:rsid w:val="00B0002F"/>
    <w:rsid w:val="00B013F8"/>
    <w:rsid w:val="00B0175F"/>
    <w:rsid w:val="00B02E1E"/>
    <w:rsid w:val="00B03D30"/>
    <w:rsid w:val="00B047D4"/>
    <w:rsid w:val="00B04B42"/>
    <w:rsid w:val="00B04D2C"/>
    <w:rsid w:val="00B05D9E"/>
    <w:rsid w:val="00B06B38"/>
    <w:rsid w:val="00B06D9C"/>
    <w:rsid w:val="00B1047E"/>
    <w:rsid w:val="00B10A3D"/>
    <w:rsid w:val="00B11155"/>
    <w:rsid w:val="00B112C7"/>
    <w:rsid w:val="00B12B2A"/>
    <w:rsid w:val="00B1352C"/>
    <w:rsid w:val="00B149EE"/>
    <w:rsid w:val="00B14C0F"/>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2FF3"/>
    <w:rsid w:val="00B532C9"/>
    <w:rsid w:val="00B537F3"/>
    <w:rsid w:val="00B5514C"/>
    <w:rsid w:val="00B5600D"/>
    <w:rsid w:val="00B560BC"/>
    <w:rsid w:val="00B579DF"/>
    <w:rsid w:val="00B579E0"/>
    <w:rsid w:val="00B57D4B"/>
    <w:rsid w:val="00B603BE"/>
    <w:rsid w:val="00B60F64"/>
    <w:rsid w:val="00B6203D"/>
    <w:rsid w:val="00B62F8D"/>
    <w:rsid w:val="00B639CE"/>
    <w:rsid w:val="00B63CE5"/>
    <w:rsid w:val="00B643A7"/>
    <w:rsid w:val="00B67D7A"/>
    <w:rsid w:val="00B701F6"/>
    <w:rsid w:val="00B7379E"/>
    <w:rsid w:val="00B754EF"/>
    <w:rsid w:val="00B76E65"/>
    <w:rsid w:val="00B77A23"/>
    <w:rsid w:val="00B77AE7"/>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298"/>
    <w:rsid w:val="00B93E77"/>
    <w:rsid w:val="00B95546"/>
    <w:rsid w:val="00B95C5F"/>
    <w:rsid w:val="00B969D3"/>
    <w:rsid w:val="00B979F3"/>
    <w:rsid w:val="00BA01C0"/>
    <w:rsid w:val="00BA176B"/>
    <w:rsid w:val="00BA2C48"/>
    <w:rsid w:val="00BA30CD"/>
    <w:rsid w:val="00BA3F1E"/>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2FC"/>
    <w:rsid w:val="00BF171E"/>
    <w:rsid w:val="00BF221F"/>
    <w:rsid w:val="00BF68F8"/>
    <w:rsid w:val="00BF6B8D"/>
    <w:rsid w:val="00C004AB"/>
    <w:rsid w:val="00C0503B"/>
    <w:rsid w:val="00C06512"/>
    <w:rsid w:val="00C078DE"/>
    <w:rsid w:val="00C12873"/>
    <w:rsid w:val="00C165C2"/>
    <w:rsid w:val="00C1737F"/>
    <w:rsid w:val="00C2034A"/>
    <w:rsid w:val="00C21F2E"/>
    <w:rsid w:val="00C23304"/>
    <w:rsid w:val="00C23655"/>
    <w:rsid w:val="00C25425"/>
    <w:rsid w:val="00C25BD4"/>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4F01"/>
    <w:rsid w:val="00C35678"/>
    <w:rsid w:val="00C35BCA"/>
    <w:rsid w:val="00C35DE7"/>
    <w:rsid w:val="00C36C57"/>
    <w:rsid w:val="00C4028C"/>
    <w:rsid w:val="00C415B7"/>
    <w:rsid w:val="00C419C8"/>
    <w:rsid w:val="00C42AB6"/>
    <w:rsid w:val="00C42EC5"/>
    <w:rsid w:val="00C43045"/>
    <w:rsid w:val="00C457E5"/>
    <w:rsid w:val="00C457FA"/>
    <w:rsid w:val="00C47E84"/>
    <w:rsid w:val="00C47FAB"/>
    <w:rsid w:val="00C5014C"/>
    <w:rsid w:val="00C50E7B"/>
    <w:rsid w:val="00C50F7E"/>
    <w:rsid w:val="00C51FE0"/>
    <w:rsid w:val="00C5287B"/>
    <w:rsid w:val="00C52DB2"/>
    <w:rsid w:val="00C543D6"/>
    <w:rsid w:val="00C54DC0"/>
    <w:rsid w:val="00C57B41"/>
    <w:rsid w:val="00C602EA"/>
    <w:rsid w:val="00C619E3"/>
    <w:rsid w:val="00C62342"/>
    <w:rsid w:val="00C6315B"/>
    <w:rsid w:val="00C63D9F"/>
    <w:rsid w:val="00C649F4"/>
    <w:rsid w:val="00C66F7E"/>
    <w:rsid w:val="00C70F2B"/>
    <w:rsid w:val="00C72545"/>
    <w:rsid w:val="00C72E20"/>
    <w:rsid w:val="00C72E79"/>
    <w:rsid w:val="00C74C45"/>
    <w:rsid w:val="00C75F27"/>
    <w:rsid w:val="00C767B7"/>
    <w:rsid w:val="00C77854"/>
    <w:rsid w:val="00C77E4C"/>
    <w:rsid w:val="00C80C83"/>
    <w:rsid w:val="00C827F6"/>
    <w:rsid w:val="00C83DE8"/>
    <w:rsid w:val="00C84C52"/>
    <w:rsid w:val="00C85FD0"/>
    <w:rsid w:val="00C86C37"/>
    <w:rsid w:val="00C86DEF"/>
    <w:rsid w:val="00C90639"/>
    <w:rsid w:val="00C909D7"/>
    <w:rsid w:val="00C912E7"/>
    <w:rsid w:val="00C91EF3"/>
    <w:rsid w:val="00C9270F"/>
    <w:rsid w:val="00C941E2"/>
    <w:rsid w:val="00C95322"/>
    <w:rsid w:val="00C95DFA"/>
    <w:rsid w:val="00CA06F6"/>
    <w:rsid w:val="00CA101F"/>
    <w:rsid w:val="00CA1BB6"/>
    <w:rsid w:val="00CA1F90"/>
    <w:rsid w:val="00CA3C63"/>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4C8"/>
    <w:rsid w:val="00CC65A0"/>
    <w:rsid w:val="00CC668B"/>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4D1"/>
    <w:rsid w:val="00CE675F"/>
    <w:rsid w:val="00CE6DFD"/>
    <w:rsid w:val="00CE7CA7"/>
    <w:rsid w:val="00CF1195"/>
    <w:rsid w:val="00CF160E"/>
    <w:rsid w:val="00CF1630"/>
    <w:rsid w:val="00CF184D"/>
    <w:rsid w:val="00CF2889"/>
    <w:rsid w:val="00CF3156"/>
    <w:rsid w:val="00CF6978"/>
    <w:rsid w:val="00CF71E5"/>
    <w:rsid w:val="00CF7BF3"/>
    <w:rsid w:val="00CF7F1B"/>
    <w:rsid w:val="00D013E7"/>
    <w:rsid w:val="00D018B0"/>
    <w:rsid w:val="00D01FC4"/>
    <w:rsid w:val="00D023D2"/>
    <w:rsid w:val="00D02D5E"/>
    <w:rsid w:val="00D02D66"/>
    <w:rsid w:val="00D0358B"/>
    <w:rsid w:val="00D05B9A"/>
    <w:rsid w:val="00D066AA"/>
    <w:rsid w:val="00D10C9D"/>
    <w:rsid w:val="00D10CB6"/>
    <w:rsid w:val="00D113B3"/>
    <w:rsid w:val="00D11C48"/>
    <w:rsid w:val="00D12302"/>
    <w:rsid w:val="00D12473"/>
    <w:rsid w:val="00D126B0"/>
    <w:rsid w:val="00D131F1"/>
    <w:rsid w:val="00D13421"/>
    <w:rsid w:val="00D135D8"/>
    <w:rsid w:val="00D13741"/>
    <w:rsid w:val="00D14831"/>
    <w:rsid w:val="00D17DDF"/>
    <w:rsid w:val="00D20038"/>
    <w:rsid w:val="00D2075C"/>
    <w:rsid w:val="00D2098F"/>
    <w:rsid w:val="00D20F13"/>
    <w:rsid w:val="00D21CC3"/>
    <w:rsid w:val="00D21F8B"/>
    <w:rsid w:val="00D22F38"/>
    <w:rsid w:val="00D23AF5"/>
    <w:rsid w:val="00D23B4E"/>
    <w:rsid w:val="00D241B2"/>
    <w:rsid w:val="00D24DD2"/>
    <w:rsid w:val="00D24F14"/>
    <w:rsid w:val="00D259AE"/>
    <w:rsid w:val="00D25C85"/>
    <w:rsid w:val="00D26065"/>
    <w:rsid w:val="00D26166"/>
    <w:rsid w:val="00D2650F"/>
    <w:rsid w:val="00D26FF8"/>
    <w:rsid w:val="00D2792D"/>
    <w:rsid w:val="00D279AF"/>
    <w:rsid w:val="00D31EB9"/>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87D91"/>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40F7"/>
    <w:rsid w:val="00DA6C32"/>
    <w:rsid w:val="00DB1622"/>
    <w:rsid w:val="00DB1809"/>
    <w:rsid w:val="00DB2786"/>
    <w:rsid w:val="00DB3D1E"/>
    <w:rsid w:val="00DB48B8"/>
    <w:rsid w:val="00DB4932"/>
    <w:rsid w:val="00DB6F5C"/>
    <w:rsid w:val="00DC1663"/>
    <w:rsid w:val="00DC19FA"/>
    <w:rsid w:val="00DC2387"/>
    <w:rsid w:val="00DC2DF7"/>
    <w:rsid w:val="00DC3E37"/>
    <w:rsid w:val="00DC5A75"/>
    <w:rsid w:val="00DC671C"/>
    <w:rsid w:val="00DD0DED"/>
    <w:rsid w:val="00DD2F4F"/>
    <w:rsid w:val="00DD2FCE"/>
    <w:rsid w:val="00DD35A8"/>
    <w:rsid w:val="00DD3CE9"/>
    <w:rsid w:val="00DD54AA"/>
    <w:rsid w:val="00DD632C"/>
    <w:rsid w:val="00DD68F0"/>
    <w:rsid w:val="00DE0234"/>
    <w:rsid w:val="00DE1EF0"/>
    <w:rsid w:val="00DE231B"/>
    <w:rsid w:val="00DE2B5D"/>
    <w:rsid w:val="00DE2C96"/>
    <w:rsid w:val="00DE3D83"/>
    <w:rsid w:val="00DE4824"/>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8E9"/>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157A"/>
    <w:rsid w:val="00E2321D"/>
    <w:rsid w:val="00E2330C"/>
    <w:rsid w:val="00E248A1"/>
    <w:rsid w:val="00E24C24"/>
    <w:rsid w:val="00E25449"/>
    <w:rsid w:val="00E25B38"/>
    <w:rsid w:val="00E271DD"/>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5401"/>
    <w:rsid w:val="00E4621D"/>
    <w:rsid w:val="00E46374"/>
    <w:rsid w:val="00E46800"/>
    <w:rsid w:val="00E46AB8"/>
    <w:rsid w:val="00E47C41"/>
    <w:rsid w:val="00E507D2"/>
    <w:rsid w:val="00E51E57"/>
    <w:rsid w:val="00E5206D"/>
    <w:rsid w:val="00E52342"/>
    <w:rsid w:val="00E5267D"/>
    <w:rsid w:val="00E526A3"/>
    <w:rsid w:val="00E52A91"/>
    <w:rsid w:val="00E52BA3"/>
    <w:rsid w:val="00E53482"/>
    <w:rsid w:val="00E534B9"/>
    <w:rsid w:val="00E546A5"/>
    <w:rsid w:val="00E55303"/>
    <w:rsid w:val="00E55897"/>
    <w:rsid w:val="00E56ABC"/>
    <w:rsid w:val="00E60622"/>
    <w:rsid w:val="00E60A75"/>
    <w:rsid w:val="00E62015"/>
    <w:rsid w:val="00E62244"/>
    <w:rsid w:val="00E62BC7"/>
    <w:rsid w:val="00E62E44"/>
    <w:rsid w:val="00E62EE2"/>
    <w:rsid w:val="00E64408"/>
    <w:rsid w:val="00E669DC"/>
    <w:rsid w:val="00E66F99"/>
    <w:rsid w:val="00E67EA7"/>
    <w:rsid w:val="00E67EEA"/>
    <w:rsid w:val="00E73F0A"/>
    <w:rsid w:val="00E75955"/>
    <w:rsid w:val="00E75CD4"/>
    <w:rsid w:val="00E76773"/>
    <w:rsid w:val="00E7746A"/>
    <w:rsid w:val="00E777D9"/>
    <w:rsid w:val="00E814F2"/>
    <w:rsid w:val="00E83014"/>
    <w:rsid w:val="00E84E3C"/>
    <w:rsid w:val="00E857C6"/>
    <w:rsid w:val="00E85930"/>
    <w:rsid w:val="00E864E5"/>
    <w:rsid w:val="00E904FA"/>
    <w:rsid w:val="00E93639"/>
    <w:rsid w:val="00E93713"/>
    <w:rsid w:val="00E93993"/>
    <w:rsid w:val="00E944E2"/>
    <w:rsid w:val="00E94EB6"/>
    <w:rsid w:val="00E95503"/>
    <w:rsid w:val="00E95749"/>
    <w:rsid w:val="00E95A83"/>
    <w:rsid w:val="00E9610E"/>
    <w:rsid w:val="00E963A8"/>
    <w:rsid w:val="00E96F99"/>
    <w:rsid w:val="00E973FF"/>
    <w:rsid w:val="00EA29CD"/>
    <w:rsid w:val="00EA4A31"/>
    <w:rsid w:val="00EA4EFE"/>
    <w:rsid w:val="00EA69F7"/>
    <w:rsid w:val="00EA7A96"/>
    <w:rsid w:val="00EA7C23"/>
    <w:rsid w:val="00EB04E4"/>
    <w:rsid w:val="00EB0747"/>
    <w:rsid w:val="00EB0C92"/>
    <w:rsid w:val="00EB0CE8"/>
    <w:rsid w:val="00EB2E69"/>
    <w:rsid w:val="00EB3303"/>
    <w:rsid w:val="00EB42AB"/>
    <w:rsid w:val="00EB470C"/>
    <w:rsid w:val="00EB4D7E"/>
    <w:rsid w:val="00EB4DC1"/>
    <w:rsid w:val="00EB56E3"/>
    <w:rsid w:val="00EB5FC6"/>
    <w:rsid w:val="00EB6E11"/>
    <w:rsid w:val="00EB6EBC"/>
    <w:rsid w:val="00EB6EF8"/>
    <w:rsid w:val="00EC0A3E"/>
    <w:rsid w:val="00EC1ECD"/>
    <w:rsid w:val="00EC34DD"/>
    <w:rsid w:val="00EC44B4"/>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EE7"/>
    <w:rsid w:val="00ED5F50"/>
    <w:rsid w:val="00ED6558"/>
    <w:rsid w:val="00ED70FD"/>
    <w:rsid w:val="00ED7381"/>
    <w:rsid w:val="00EE01B2"/>
    <w:rsid w:val="00EE271B"/>
    <w:rsid w:val="00EE3C17"/>
    <w:rsid w:val="00EE4629"/>
    <w:rsid w:val="00EE50E5"/>
    <w:rsid w:val="00EE5CD7"/>
    <w:rsid w:val="00EE5DF4"/>
    <w:rsid w:val="00EE70D8"/>
    <w:rsid w:val="00EE7156"/>
    <w:rsid w:val="00EE73D9"/>
    <w:rsid w:val="00EE78CB"/>
    <w:rsid w:val="00EF0448"/>
    <w:rsid w:val="00EF1EFB"/>
    <w:rsid w:val="00EF2B67"/>
    <w:rsid w:val="00EF3903"/>
    <w:rsid w:val="00EF3FAD"/>
    <w:rsid w:val="00EF613B"/>
    <w:rsid w:val="00F0134C"/>
    <w:rsid w:val="00F016D9"/>
    <w:rsid w:val="00F0175F"/>
    <w:rsid w:val="00F01EF6"/>
    <w:rsid w:val="00F02E4B"/>
    <w:rsid w:val="00F0313C"/>
    <w:rsid w:val="00F0400D"/>
    <w:rsid w:val="00F05DEF"/>
    <w:rsid w:val="00F078E1"/>
    <w:rsid w:val="00F07EDC"/>
    <w:rsid w:val="00F10797"/>
    <w:rsid w:val="00F108F7"/>
    <w:rsid w:val="00F124BE"/>
    <w:rsid w:val="00F13250"/>
    <w:rsid w:val="00F13D6E"/>
    <w:rsid w:val="00F1416E"/>
    <w:rsid w:val="00F14777"/>
    <w:rsid w:val="00F1478F"/>
    <w:rsid w:val="00F14E06"/>
    <w:rsid w:val="00F15BFD"/>
    <w:rsid w:val="00F164BC"/>
    <w:rsid w:val="00F165EC"/>
    <w:rsid w:val="00F1732E"/>
    <w:rsid w:val="00F20472"/>
    <w:rsid w:val="00F217CB"/>
    <w:rsid w:val="00F23127"/>
    <w:rsid w:val="00F2482F"/>
    <w:rsid w:val="00F268CC"/>
    <w:rsid w:val="00F26D4A"/>
    <w:rsid w:val="00F275E2"/>
    <w:rsid w:val="00F27A64"/>
    <w:rsid w:val="00F30D8A"/>
    <w:rsid w:val="00F310C1"/>
    <w:rsid w:val="00F32C25"/>
    <w:rsid w:val="00F34D6F"/>
    <w:rsid w:val="00F36377"/>
    <w:rsid w:val="00F37BE1"/>
    <w:rsid w:val="00F40673"/>
    <w:rsid w:val="00F41D2E"/>
    <w:rsid w:val="00F42E69"/>
    <w:rsid w:val="00F4325B"/>
    <w:rsid w:val="00F46403"/>
    <w:rsid w:val="00F465CB"/>
    <w:rsid w:val="00F47DDD"/>
    <w:rsid w:val="00F50B59"/>
    <w:rsid w:val="00F50E42"/>
    <w:rsid w:val="00F548F2"/>
    <w:rsid w:val="00F55C08"/>
    <w:rsid w:val="00F57057"/>
    <w:rsid w:val="00F57EC7"/>
    <w:rsid w:val="00F60E85"/>
    <w:rsid w:val="00F611A2"/>
    <w:rsid w:val="00F61328"/>
    <w:rsid w:val="00F616D4"/>
    <w:rsid w:val="00F61F15"/>
    <w:rsid w:val="00F62F99"/>
    <w:rsid w:val="00F63202"/>
    <w:rsid w:val="00F65260"/>
    <w:rsid w:val="00F652CB"/>
    <w:rsid w:val="00F65C8E"/>
    <w:rsid w:val="00F662E7"/>
    <w:rsid w:val="00F67B86"/>
    <w:rsid w:val="00F70235"/>
    <w:rsid w:val="00F70462"/>
    <w:rsid w:val="00F70C12"/>
    <w:rsid w:val="00F73DE9"/>
    <w:rsid w:val="00F74AAB"/>
    <w:rsid w:val="00F74BC8"/>
    <w:rsid w:val="00F74FC4"/>
    <w:rsid w:val="00F802C0"/>
    <w:rsid w:val="00F805C6"/>
    <w:rsid w:val="00F817D8"/>
    <w:rsid w:val="00F81F65"/>
    <w:rsid w:val="00F82719"/>
    <w:rsid w:val="00F830B4"/>
    <w:rsid w:val="00F83221"/>
    <w:rsid w:val="00F838CA"/>
    <w:rsid w:val="00F83A67"/>
    <w:rsid w:val="00F8571B"/>
    <w:rsid w:val="00F859A1"/>
    <w:rsid w:val="00F8645F"/>
    <w:rsid w:val="00F86BD5"/>
    <w:rsid w:val="00F86DAA"/>
    <w:rsid w:val="00F8719A"/>
    <w:rsid w:val="00F87397"/>
    <w:rsid w:val="00F8755B"/>
    <w:rsid w:val="00F87810"/>
    <w:rsid w:val="00F878F8"/>
    <w:rsid w:val="00F913B9"/>
    <w:rsid w:val="00F9169F"/>
    <w:rsid w:val="00F91CBB"/>
    <w:rsid w:val="00F92B7B"/>
    <w:rsid w:val="00F94514"/>
    <w:rsid w:val="00F95B34"/>
    <w:rsid w:val="00F96EF9"/>
    <w:rsid w:val="00FA0413"/>
    <w:rsid w:val="00FA151D"/>
    <w:rsid w:val="00FA27AB"/>
    <w:rsid w:val="00FA2F3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601"/>
    <w:rsid w:val="00FC189E"/>
    <w:rsid w:val="00FC2D9C"/>
    <w:rsid w:val="00FC3548"/>
    <w:rsid w:val="00FC40EA"/>
    <w:rsid w:val="00FC5759"/>
    <w:rsid w:val="00FC728D"/>
    <w:rsid w:val="00FC7C0A"/>
    <w:rsid w:val="00FD18B9"/>
    <w:rsid w:val="00FD2D18"/>
    <w:rsid w:val="00FD5836"/>
    <w:rsid w:val="00FD591A"/>
    <w:rsid w:val="00FD67AA"/>
    <w:rsid w:val="00FD700B"/>
    <w:rsid w:val="00FD74CC"/>
    <w:rsid w:val="00FE109D"/>
    <w:rsid w:val="00FE110B"/>
    <w:rsid w:val="00FE117E"/>
    <w:rsid w:val="00FE3D43"/>
    <w:rsid w:val="00FE5B79"/>
    <w:rsid w:val="00FE71E7"/>
    <w:rsid w:val="00FE795B"/>
    <w:rsid w:val="00FF0139"/>
    <w:rsid w:val="00FF018C"/>
    <w:rsid w:val="00FF0329"/>
    <w:rsid w:val="00FF0BD4"/>
    <w:rsid w:val="00FF1671"/>
    <w:rsid w:val="00FF23E6"/>
    <w:rsid w:val="00FF2CA1"/>
    <w:rsid w:val="00FF3CB2"/>
    <w:rsid w:val="00FF6006"/>
    <w:rsid w:val="00FF6066"/>
    <w:rsid w:val="00FF677B"/>
    <w:rsid w:val="00FF69B1"/>
    <w:rsid w:val="00FF7741"/>
    <w:rsid w:val="13163331"/>
    <w:rsid w:val="398BBF93"/>
    <w:rsid w:val="3EBD0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3.bcb.gov.br/sgspub/localizarseries/localizarSeries.do?method=prepararTelaLocalizarSeries" TargetMode="External"/><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735</TotalTime>
  <Pages>19</Pages>
  <Words>4476</Words>
  <Characters>24175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306</cp:revision>
  <cp:lastPrinted>2020-10-30T02:04:00Z</cp:lastPrinted>
  <dcterms:created xsi:type="dcterms:W3CDTF">2022-03-31T01:23:00Z</dcterms:created>
  <dcterms:modified xsi:type="dcterms:W3CDTF">2022-10-17T00:33:00Z</dcterms:modified>
</cp:coreProperties>
</file>