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LISTA DE PALAVRAS CHAVE NEGATIVAS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Amil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Bradesco Saúde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SulAmérica Saúde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Unimed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NotreDame Intermédica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Hapvida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Porto Seguro Saúde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Saúde Caixa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Allianz Saúde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Sompo Saúde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Grupo NotreDame Intermédica (GNDI)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Golden Cross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São Francisco Saúde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Mediservice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Life Empresarial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Omint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Prevent Senior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Promed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Agemed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BioVida Saúde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Biovida Saúde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Intermédica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Postal Saúde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Care Plus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Plena Saúde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GreenLine Saúde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Trasmontano Saúde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Cassi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Fundação CESP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Geap Saúde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Convênio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Conveniado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Plano de saúde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Cobertura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Rede credenciada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Autorização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